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1376d8k.htm"/>
      <w:bookmarkStart w:id="1" w:name="ksd16137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46-2956775</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Pine Street</w:t>
            </w:r>
          </w:p>
          <w:p>
            <w:pPr>
              <w:pStyle w:val="TableContents"/>
              <w:bidi w:val="0"/>
              <w:spacing w:before="0" w:after="20"/>
              <w:jc w:val="center"/>
              <w:rPr>
                <w:rFonts w:ascii="Times New Roman" w:hAnsi="Times New Roman"/>
                <w:b/>
                <w:sz w:val="20"/>
              </w:rPr>
            </w:pPr>
            <w:r>
              <w:rPr>
                <w:rFonts w:ascii="Times New Roman" w:hAnsi="Times New Roman"/>
                <w:b/>
                <w:sz w:val="20"/>
              </w:rPr>
              <w:t>Suite 400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94104</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November 12, 2025, Jaguar Health, Inc. (the “Company”) issued and sold to Streeterville Capital, LLC (“Streeterville”) a secured promissory note in the original principal amount of $10,810,000 (as amended, the “2025 Note”) pursuant to that certain Note Purchase Agreement between the same parties dated as of the even date.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2026, the Company entered into privately negotiated exchange agreements with Streeterville (collectively, the “2025 Note Exchange Agreements”), pursuant to which the Company issued an aggregate of 547,898 shares (the “2025 Note Exchange Shares”) of the Company’s common stock, par value $0.0001 (the “Common Stock”) to Streeterville in exchange for a $5,049,909.26 reduction in the outstanding balance of the 2025 Note (the “2025 Note Exchange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2025 Note Exchange Agreements include representations, warranties, and covenants customary for a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2025 Note Exchange Agreements does not purport to be complete and is qualified in its entirety by the 2025 Note Exchange Agreements, the form of which is filed herewith as Exhibit 10.1 and incorporated herein by reference.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is hereby incorporated by reference into this Item 3.02 in its entirety. The 2025 Note Exchange Shares were issued in reliance on the exemption from registration provided under Section 3(a)(9) of the Securities Act of 1933, as amended (the “Securities Act”).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September 23, 2026, the Company had approximately 1,281,867 shares of Common Stock issued and outstanding.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85"/>
        <w:gridCol w:w="120"/>
        <w:gridCol w:w="444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4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456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hyperlink w:anchor="d161376dex101.htm">
              <w:r>
                <w:rPr>
                  <w:rStyle w:val="InternetLink"/>
                </w:rPr>
                <w:t xml:space="preserve">Form of the 2025 Note Exchange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456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Cover Page Interactive Data File</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9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Lisa A. Conte</w:t>
            </w:r>
          </w:p>
        </w:tc>
      </w:tr>
      <w:tr>
        <w:trPr/>
        <w:tc>
          <w:tcPr>
            <w:tcW w:w="2510" w:type="dxa"/>
            <w:tcBorders/>
            <w:vAlign w:val="center"/>
          </w:tcPr>
          <w:p>
            <w:pPr>
              <w:pStyle w:val="TableContents"/>
              <w:bidi w:val="0"/>
              <w:spacing w:before="0" w:after="283"/>
              <w:jc w:val="left"/>
              <w:rPr/>
            </w:pPr>
            <w:r>
              <w:rPr/>
              <w:t>Date: September 24,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61376dex101.htm"/>
      <w:bookmarkStart w:id="3" w:name="ksd161376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THE EXCHANGE CONTEMPLATED HEREIN IS INTENDED TO COMPORT WITH THE REQUIREMENTS OF SECTION 3(a)(9) OF THE SECURITIES ACT OF 1933, AS AMENDED.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EXCHANGE AGREEMENT </w:t>
      </w:r>
    </w:p>
    <w:p>
      <w:pPr>
        <w:pStyle w:val="TextBody"/>
        <w:bidi w:val="0"/>
        <w:spacing w:before="240" w:after="0"/>
        <w:jc w:val="left"/>
        <w:rPr>
          <w:rFonts w:ascii="Times New Roman" w:hAnsi="Times New Roman"/>
          <w:sz w:val="20"/>
        </w:rPr>
      </w:pPr>
      <w:r>
        <w:rPr>
          <w:rFonts w:ascii="Times New Roman" w:hAnsi="Times New Roman"/>
          <w:sz w:val="20"/>
        </w:rPr>
        <w:t>This Exchange Agreement (this “</w:t>
      </w:r>
      <w:r>
        <w:rPr>
          <w:rFonts w:ascii="Times New Roman" w:hAnsi="Times New Roman"/>
          <w:b/>
          <w:sz w:val="20"/>
        </w:rPr>
        <w:t>Agreement</w:t>
      </w:r>
      <w:r>
        <w:rPr>
          <w:rFonts w:ascii="Times New Roman" w:hAnsi="Times New Roman"/>
          <w:sz w:val="20"/>
        </w:rPr>
        <w:t>”) is entered into as of September 23, 2026 (the “</w:t>
      </w:r>
      <w:r>
        <w:rPr>
          <w:rFonts w:ascii="Times New Roman" w:hAnsi="Times New Roman"/>
          <w:b/>
          <w:sz w:val="20"/>
        </w:rPr>
        <w:t>Effective Date</w:t>
      </w:r>
      <w:r>
        <w:rPr>
          <w:rFonts w:ascii="Times New Roman" w:hAnsi="Times New Roman"/>
          <w:sz w:val="20"/>
        </w:rPr>
        <w:t>”) by and between Streeterville Capital, LLC, a Utah limited liablity company (“</w:t>
      </w:r>
      <w:r>
        <w:rPr>
          <w:rFonts w:ascii="Times New Roman" w:hAnsi="Times New Roman"/>
          <w:b/>
          <w:sz w:val="20"/>
        </w:rPr>
        <w:t>Lender</w:t>
      </w:r>
      <w:r>
        <w:rPr>
          <w:rFonts w:ascii="Times New Roman" w:hAnsi="Times New Roman"/>
          <w:sz w:val="20"/>
        </w:rPr>
        <w:t>”), and Jaguar Health, Inc., a Delaware corporation (“</w:t>
      </w:r>
      <w:r>
        <w:rPr>
          <w:rFonts w:ascii="Times New Roman" w:hAnsi="Times New Roman"/>
          <w:b/>
          <w:sz w:val="20"/>
        </w:rPr>
        <w:t>Borrower</w:t>
      </w:r>
      <w:r>
        <w:rPr>
          <w:rFonts w:ascii="Times New Roman" w:hAnsi="Times New Roman"/>
          <w:sz w:val="20"/>
        </w:rPr>
        <w:t xml:space="preserve">”). Capitalized terms used in this Agreement without definition shall have the meanings given to them in the Original Note (as defined below). </w:t>
      </w:r>
    </w:p>
    <w:p>
      <w:pPr>
        <w:pStyle w:val="TextBody"/>
        <w:bidi w:val="0"/>
        <w:spacing w:before="240" w:after="0"/>
        <w:jc w:val="left"/>
        <w:rPr>
          <w:rFonts w:ascii="Times New Roman" w:hAnsi="Times New Roman"/>
          <w:sz w:val="20"/>
        </w:rPr>
      </w:pPr>
      <w:r>
        <w:rPr>
          <w:rFonts w:ascii="Times New Roman" w:hAnsi="Times New Roman"/>
          <w:sz w:val="20"/>
        </w:rPr>
        <w:t>A. Company previously sold and issued to Investor that certain Secured Promissory Note dated November 12, 2025 (the “</w:t>
      </w:r>
      <w:r>
        <w:rPr>
          <w:rFonts w:ascii="Times New Roman" w:hAnsi="Times New Roman"/>
          <w:b/>
          <w:sz w:val="20"/>
        </w:rPr>
        <w:t>Original Note</w:t>
      </w:r>
      <w:r>
        <w:rPr>
          <w:rFonts w:ascii="Times New Roman" w:hAnsi="Times New Roman"/>
          <w:sz w:val="20"/>
        </w:rPr>
        <w:t>”) pursuant to that certain Note Purchase Agreement dated November 12, 2025 (the “</w:t>
      </w:r>
      <w:r>
        <w:rPr>
          <w:rFonts w:ascii="Times New Roman" w:hAnsi="Times New Roman"/>
          <w:b/>
          <w:sz w:val="20"/>
        </w:rPr>
        <w:t>Purchase Agreement</w:t>
      </w:r>
      <w:r>
        <w:rPr>
          <w:rFonts w:ascii="Times New Roman" w:hAnsi="Times New Roman"/>
          <w:sz w:val="20"/>
        </w:rPr>
        <w:t>,” and together with the Original Note and all other documents entered into in conjunction therewith,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Subject to the terms of this Agreement, Borrower and Lender desire to partition a new Original Note in the original principal amount of $[______] (the “</w:t>
      </w:r>
      <w:r>
        <w:rPr>
          <w:rFonts w:ascii="Times New Roman" w:hAnsi="Times New Roman"/>
          <w:b/>
          <w:sz w:val="20"/>
        </w:rPr>
        <w:t>Partitioned Note</w:t>
      </w:r>
      <w:r>
        <w:rPr>
          <w:rFonts w:ascii="Times New Roman" w:hAnsi="Times New Roman"/>
          <w:sz w:val="20"/>
        </w:rPr>
        <w:t xml:space="preserve">”) from the Original Note and then cause the outstanding balance of the Original Note to be reduced by an amount equal to the initial outstanding balance of the Partitioned Note. </w:t>
      </w:r>
    </w:p>
    <w:p>
      <w:pPr>
        <w:pStyle w:val="TextBody"/>
        <w:bidi w:val="0"/>
        <w:spacing w:before="240" w:after="0"/>
        <w:jc w:val="left"/>
        <w:rPr>
          <w:rFonts w:ascii="Times New Roman" w:hAnsi="Times New Roman"/>
          <w:sz w:val="20"/>
        </w:rPr>
      </w:pPr>
      <w:r>
        <w:rPr>
          <w:rFonts w:ascii="Times New Roman" w:hAnsi="Times New Roman"/>
          <w:sz w:val="20"/>
        </w:rPr>
        <w:t>C. Borrower and Lender further desire to exchange (such exchange is referred to as the “</w:t>
      </w:r>
      <w:r>
        <w:rPr>
          <w:rFonts w:ascii="Times New Roman" w:hAnsi="Times New Roman"/>
          <w:b/>
          <w:sz w:val="20"/>
        </w:rPr>
        <w:t>Note Exchange</w:t>
      </w:r>
      <w:r>
        <w:rPr>
          <w:rFonts w:ascii="Times New Roman" w:hAnsi="Times New Roman"/>
          <w:sz w:val="20"/>
        </w:rPr>
        <w:t>”) the Partitioned Note for [______] shares of the Company’s Common Stock, par value $0.0001 (the “</w:t>
      </w:r>
      <w:r>
        <w:rPr>
          <w:rFonts w:ascii="Times New Roman" w:hAnsi="Times New Roman"/>
          <w:b/>
          <w:sz w:val="20"/>
        </w:rPr>
        <w:t>Common Stock</w:t>
      </w:r>
      <w:r>
        <w:rPr>
          <w:rFonts w:ascii="Times New Roman" w:hAnsi="Times New Roman"/>
          <w:sz w:val="20"/>
        </w:rPr>
        <w:t>”, and such [______] shares of Common Stock, the “</w:t>
      </w:r>
      <w:r>
        <w:rPr>
          <w:rFonts w:ascii="Times New Roman" w:hAnsi="Times New Roman"/>
          <w:b/>
          <w:sz w:val="20"/>
        </w:rPr>
        <w:t>Exchange Shares</w:t>
      </w:r>
      <w:r>
        <w:rPr>
          <w:rFonts w:ascii="Times New Roman" w:hAnsi="Times New Roman"/>
          <w:sz w:val="20"/>
        </w:rPr>
        <w:t xml:space="preserve">”), according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Note Exchange will consist of Lender surrendering the Partitioned Note in exchange for the Exchange Shares, which will be issued free of any restrictive securities legend. </w:t>
      </w:r>
    </w:p>
    <w:p>
      <w:pPr>
        <w:pStyle w:val="TextBody"/>
        <w:bidi w:val="0"/>
        <w:spacing w:before="240" w:after="0"/>
        <w:jc w:val="left"/>
        <w:rPr>
          <w:rFonts w:ascii="Times New Roman" w:hAnsi="Times New Roman"/>
          <w:sz w:val="20"/>
        </w:rPr>
      </w:pPr>
      <w:r>
        <w:rPr>
          <w:rFonts w:ascii="Times New Roman" w:hAnsi="Times New Roman"/>
          <w:sz w:val="20"/>
        </w:rPr>
        <w:t xml:space="preserve">E. Other than the surrender of the Partitioned Note, no consideration of any kind whatsoever shall be given by Lender to Borrower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Lender and Borrower now desire to exchange the Partitioned Note for the Exchange Shares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 and Definitions</w:t>
      </w:r>
      <w:r>
        <w:rPr>
          <w:rFonts w:ascii="Times New Roman" w:hAnsi="Times New Roman"/>
          <w:sz w:val="20"/>
        </w:rPr>
        <w:t xml:space="preserve">. Each of the parties hereto acknowledges and agrees that the recitals set forth above in this Agreement are true and accurate, are contractual in nature, and are hereby incorporated into and made a part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Partition</w:t>
      </w:r>
      <w:r>
        <w:rPr>
          <w:rFonts w:ascii="Times New Roman" w:hAnsi="Times New Roman"/>
          <w:sz w:val="20"/>
        </w:rPr>
        <w:t xml:space="preserve">. Effective as of the date hereof, Borrower and Lender agree that the Partitioned Note is hereby partitioned from the Original Note. Following such partition of the Original Note, Borrower and Lender agree that the Original Note shall remain in full force and effect, provided that the outstanding balance of the Original Note shall be reduced by an amount equal to the initial outstanding balance of the Partitioned Note. For avoidance of doubt, the rights, duties, obligations, remedies of Borrower and Lender, and other terms and conditions of the Original Note shall remain unchanged upon the entering into of this Agreement, except with respect to the reduction in the outstanding balance by the amount of the Partitioned Note.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Issuance of Shares</w:t>
      </w:r>
      <w:r>
        <w:rPr>
          <w:rFonts w:ascii="Times New Roman" w:hAnsi="Times New Roman"/>
          <w:sz w:val="20"/>
        </w:rPr>
        <w:t>. Pursuant to the terms and conditions of this Agreement, the Exchange Shares shall be delivered to Lender on or before September 24, 2026 and the Note Exchange shall occur with Lender surrendering the Partitioned Note to Borrower on the Free Trading Date (as defined below). On the Free Trading Date, the Partitioned Note shall be cancelled and all obligations of Borrower under the Partitioned Note shall be deemed fulfilled. All Exchange Shares delivered hereunder shall be delivered via DWAC to Lender’s designated brokerage account. Borrower agrees to provide all necessary cooperation or assistance that may be required to cause all Exchange Shares delivered hereunder to become Free Trading (the first date on which all Exchange Shares become Free Trading, the “</w:t>
      </w:r>
      <w:r>
        <w:rPr>
          <w:rFonts w:ascii="Times New Roman" w:hAnsi="Times New Roman"/>
          <w:b/>
          <w:sz w:val="20"/>
        </w:rPr>
        <w:t>Free Trading Date</w:t>
      </w:r>
      <w:r>
        <w:rPr>
          <w:rFonts w:ascii="Times New Roman" w:hAnsi="Times New Roman"/>
          <w:sz w:val="20"/>
        </w:rPr>
        <w:t>”). For purposes hereof, the term “</w:t>
      </w:r>
      <w:r>
        <w:rPr>
          <w:rFonts w:ascii="Times New Roman" w:hAnsi="Times New Roman"/>
          <w:b/>
          <w:sz w:val="20"/>
        </w:rPr>
        <w:t>Free Trading</w:t>
      </w:r>
      <w:r>
        <w:rPr>
          <w:rFonts w:ascii="Times New Roman" w:hAnsi="Times New Roman"/>
          <w:sz w:val="20"/>
        </w:rPr>
        <w:t xml:space="preserve">” means that (a) the Exchange Shares have been cleared and approved for public resale by the compliance departments of Lender’s brokerage firm and the clearing firm servicing such brokerage, and (b) such shares are held in the name of the clearing firm servicing Lender’s brokerage firm and have been deposited into such clearing firm’s account for the benefit of Lender.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Closing</w:t>
      </w:r>
      <w:r>
        <w:rPr>
          <w:rFonts w:ascii="Times New Roman" w:hAnsi="Times New Roman"/>
          <w:sz w:val="20"/>
        </w:rPr>
        <w:t>. The closing of the transaction contemplated hereby (the “</w:t>
      </w:r>
      <w:r>
        <w:rPr>
          <w:rFonts w:ascii="Times New Roman" w:hAnsi="Times New Roman"/>
          <w:b/>
          <w:sz w:val="20"/>
        </w:rPr>
        <w:t>Closing</w:t>
      </w:r>
      <w:r>
        <w:rPr>
          <w:rFonts w:ascii="Times New Roman" w:hAnsi="Times New Roman"/>
          <w:sz w:val="20"/>
        </w:rPr>
        <w:t xml:space="preserve">”) along with the delivery of the Exchange Shares to Lender shall occur on the date that is mutually agreed to by Borrower and Lender by means of the exchange by express courier and email of .pdf documents, but shall be deemed to have occurred at the offices of Capital Law Partners PLLC in Lehi, Utah.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Holding Period, Tacking and Legal Opinion</w:t>
      </w:r>
      <w:r>
        <w:rPr>
          <w:rFonts w:ascii="Times New Roman" w:hAnsi="Times New Roman"/>
          <w:sz w:val="20"/>
        </w:rPr>
        <w:t>. Borrower represents, warrants and agrees that for the purposes of Rule 144 (“</w:t>
      </w:r>
      <w:r>
        <w:rPr>
          <w:rFonts w:ascii="Times New Roman" w:hAnsi="Times New Roman"/>
          <w:b/>
          <w:sz w:val="20"/>
        </w:rPr>
        <w:t>Rule 144</w:t>
      </w:r>
      <w:r>
        <w:rPr>
          <w:rFonts w:ascii="Times New Roman" w:hAnsi="Times New Roman"/>
          <w:sz w:val="20"/>
        </w:rPr>
        <w:t>”) of the Securities Act of 1933, as amended (the “</w:t>
      </w:r>
      <w:r>
        <w:rPr>
          <w:rFonts w:ascii="Times New Roman" w:hAnsi="Times New Roman"/>
          <w:b/>
          <w:sz w:val="20"/>
        </w:rPr>
        <w:t>Securities Act</w:t>
      </w:r>
      <w:r>
        <w:rPr>
          <w:rFonts w:ascii="Times New Roman" w:hAnsi="Times New Roman"/>
          <w:sz w:val="20"/>
        </w:rPr>
        <w:t xml:space="preserve">”), the holding period of the Partitioned Note and the Exchange Shares will include Lender’s holding period of the Original Note from November 12, 2025. Borrower agrees not to take a position contrary to this Section 5 in any document, statement, setting, or situation. Borrower agrees to take all action necessary to issue the Exchange Shares without restriction, and not containing any restrictive legend without the need for any action by Lender; provided that the applicable holding period has been met. In furtherance thereof, prior to the Closing, counsel to Lender may, in its sole discretion, provide an opinion that: (a) the Exchange Shares may be resold pursuant to Rule 144 without volume or manner-of-sale restrictions; and (b) the transactions contemplated hereby and all other documents associated with this transaction comport with the requirements of Section 3(a)(9) of the Securities Act. Borrower represents that it is not subject to Rule 144(i). The Exchange Shares are being issued in substitution of and exchange for and not in satisfaction of the Partitioned Note. The Exchange Shares shall not constitute a novation or satisfaction and accord of the Partitioned Note. Borrower acknowledges and understands that the representations and agreements of Borrower in this Section 5 are a material inducement to Lender’s decision to consummate the transactions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Borrower’s Representations, Warranties and Agreements</w:t>
      </w:r>
      <w:r>
        <w:rPr>
          <w:rFonts w:ascii="Times New Roman" w:hAnsi="Times New Roman"/>
          <w:sz w:val="20"/>
        </w:rPr>
        <w:t xml:space="preserve">.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Borrower hereunder, (c) no Event of Default has occurred under the Original Note and any Events of Default that may have occurred thereunder have not been, and are not hereby, waived by Lender, (d) except as specifically set forth herein, nothing herein shall in any manner release, lessen, modify or otherwise affect Borrower’s obligations under the Original Note, (e) the issuance of the Exchange Shares is duly authorized by all necessary corporate action and the Exchange Shares are validly issued, fully paid and non-assessable, free and clear of all taxes, liens, claims, pledges, mortgages, restrictions, obligations, security interests and encumbrances of any kind, nature and description, (f) Borrower has not received any consideration in any form whatsoever for entering into this Agreement, other than the surrender of the Partitioned Note, and (g) Borrower has taken no action which would give rise to any claim by any person for a brokerage commission, placement agent or finder’s fee or other similar payment by Borrower related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Lender’s Representations, Warranties and Agreements</w:t>
      </w:r>
      <w:r>
        <w:rPr>
          <w:rFonts w:ascii="Times New Roman" w:hAnsi="Times New Roman"/>
          <w:sz w:val="20"/>
        </w:rPr>
        <w:t xml:space="preserve">.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(c) Lender has taken no action which would give rise to any claim by any person for a brokerage commission, placement agent or finder’s fee or other similar payment by Borrower related to this Agreement, (d) Lender is not currently an affiliate of the Borrower and has not been an affiliate of the Borrower for the prior three months, and (e) Lender, together with its affiliates, does not, and will not following the receipt of the Exchange Shares, beneficially own more than 9.99% of the number of shares of Common Stock outstanding on the Effective Date. For purposes of Section 7(f), beneficial ownership of Common Stock will be determined pursuant to Section 13(d)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Governing Law; Venue</w:t>
      </w:r>
      <w:r>
        <w:rPr>
          <w:rFonts w:ascii="Times New Roman" w:hAnsi="Times New Roman"/>
          <w:sz w:val="20"/>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The parties agree that the Arbitration Provisions shall apply to any dispute that may arise between Borrower and Lender under this Agreement. </w:t>
      </w:r>
      <w:r>
        <w:rPr>
          <w:rFonts w:ascii="Times New Roman" w:hAnsi="Times New Roman"/>
          <w:b/>
          <w:sz w:val="20"/>
        </w:rPr>
        <w:t xml:space="preserve">BORROWER HEREBY IRREVOCABLY WAIVES ANY RIGHT IT MAY HAVE TO, AND AGREES NOT TO REQUEST, A JURY TRIAL FOR THE ADJUDICATION OF ANY DISPUTE HEREUNDER OR IN CONNECTION WITH OR </w:t>
      </w:r>
      <w:r>
        <w:rPr>
          <w:rFonts w:ascii="Times New Roman" w:hAnsi="Times New Roman"/>
          <w:sz w:val="20"/>
        </w:rPr>
        <w:t xml:space="preserve">ARISING OUT OF THIS AGREEMENT OR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Counterparts</w:t>
      </w:r>
      <w:r>
        <w:rPr>
          <w:rFonts w:ascii="Times New Roman" w:hAnsi="Times New Roman"/>
          <w:sz w:val="20"/>
        </w:rPr>
        <w:t xml:space="preserve">.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Attorneys’ Fees</w:t>
      </w:r>
      <w:r>
        <w:rPr>
          <w:rFonts w:ascii="Times New Roman" w:hAnsi="Times New Roman"/>
          <w:sz w:val="20"/>
        </w:rPr>
        <w:t xml:space="preserve">. In the event of any arbitration or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Reliance</w:t>
      </w:r>
      <w:r>
        <w:rPr>
          <w:rFonts w:ascii="Times New Roman" w:hAnsi="Times New Roman"/>
          <w:sz w:val="20"/>
        </w:rPr>
        <w:t xml:space="preserve">.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Agreement and the Transaction Documents and, in making its decision to enter into the transactions contemplated by this Agreement, Borrower is not relying on any representation, warranty, covenant or promise of Lender or its officers, directors, members, managers, equity holders, agents or representatives other than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Severability</w:t>
      </w:r>
      <w:r>
        <w:rPr>
          <w:rFonts w:ascii="Times New Roman" w:hAnsi="Times New Roman"/>
          <w:sz w:val="20"/>
        </w:rPr>
        <w:t xml:space="preserve">. If any part of this Agreement is construed to be in violation of any law, such part shall be modified to achieve the objective of the parties to the fullest extent permitted and the balance of this Agreement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Entire Agreement</w:t>
      </w:r>
      <w:r>
        <w:rPr>
          <w:rFonts w:ascii="Times New Roman" w:hAnsi="Times New Roman"/>
          <w:sz w:val="20"/>
        </w:rPr>
        <w:t xml:space="preserve">. This Agreement, together with the Transaction Documents, and all other documents referred to herein, supersedes all other prior oral or written agreements between Borrower, Lender,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Amendments</w:t>
      </w:r>
      <w:r>
        <w:rPr>
          <w:rFonts w:ascii="Times New Roman" w:hAnsi="Times New Roman"/>
          <w:sz w:val="20"/>
        </w:rPr>
        <w:t xml:space="preserve">. This Agreement may be amended, modified, or supplemented only by written agreement of the parties. No provision of this Agreement may be waived except in writing signed by the party against whom such waiver is sought to be enforced.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Borrower may not assign this Agreement or any of its obligations herein without the prior written consent of Lender.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Continuing Enforceability; Conflict Between Documents</w:t>
      </w:r>
      <w:r>
        <w:rPr>
          <w:rFonts w:ascii="Times New Roman" w:hAnsi="Times New Roman"/>
          <w:sz w:val="20"/>
        </w:rPr>
        <w:t xml:space="preserve">. Except as otherwise modified by this Agreement, the Original Note and each of the other Transaction Documents shall remain in full force and effect, enforceable in accordance with all of its original terms and provisions. This Agreement shall not be effective or binding unless and until it is fully executed and delivered by Lender and Borrower. If there is any conflict between the terms of this Agreement, on the one hand, and the Original Note or any other Transaction Document, on the other hand, the terms of this Agreement shall prevail.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Time of Essence</w:t>
      </w:r>
      <w:r>
        <w:rPr>
          <w:rFonts w:ascii="Times New Roman" w:hAnsi="Times New Roman"/>
          <w:sz w:val="20"/>
        </w:rPr>
        <w:t xml:space="preserve">. Time is of the essence with respect to each and every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Notices</w:t>
      </w:r>
      <w:r>
        <w:rPr>
          <w:rFonts w:ascii="Times New Roman" w:hAnsi="Times New Roman"/>
          <w:sz w:val="20"/>
        </w:rPr>
        <w:t xml:space="preserve">. Unless otherwise specifically provided for herein, all notices, demands or requests required or permitted under this Agreement to be given to Borrower or Lender shall be given as set forth in the “Notices” section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Lisa A. Conte, CEO &amp;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STREETERVILLE CAPITAL,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John M. Fife,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Exchange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3179</Words>
  <Characters>17059</Characters>
  <CharactersWithSpaces>20230</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