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7881ds1a.htm"/>
        <w:bookmarkStart w:id="1" w:name="ksd47881ds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24,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333-297489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32"/>
        </w:rPr>
      </w:pPr>
      <w:r>
        <w:rPr>
          <w:rFonts w:ascii="Times New Roman" w:hAnsi="Times New Roman"/>
          <w:b/>
          <w:sz w:val="32"/>
        </w:rPr>
        <w:t xml:space="preserve">PRE-EFFECTIVE 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44"/>
        </w:rPr>
      </w:pPr>
      <w:r>
        <w:rPr>
          <w:rFonts w:ascii="Times New Roman" w:hAnsi="Times New Roman"/>
          <w:b/>
          <w:sz w:val="44"/>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46-2956775</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0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100" w:after="0"/>
        <w:jc w:val="center"/>
        <w:rPr>
          <w:rFonts w:ascii="Times New Roman" w:hAnsi="Times New Roman"/>
          <w:b/>
          <w:sz w:val="16"/>
        </w:rPr>
      </w:pPr>
      <w:r>
        <w:rPr>
          <w:rFonts w:ascii="Times New Roman" w:hAnsi="Times New Roman"/>
          <w:b/>
          <w:sz w:val="16"/>
        </w:rPr>
        <w:t xml:space="preserve">Lisa A. Conte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and President </w:t>
      </w:r>
    </w:p>
    <w:p>
      <w:pPr>
        <w:pStyle w:val="TextBody"/>
        <w:bidi w:val="0"/>
        <w:spacing w:before="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00" w:after="0"/>
        <w:jc w:val="center"/>
        <w:rPr>
          <w:rFonts w:ascii="Times New Roman" w:hAnsi="Times New Roman"/>
          <w:b/>
          <w:sz w:val="16"/>
        </w:rPr>
      </w:pPr>
      <w:r>
        <w:rPr>
          <w:rFonts w:ascii="Times New Roman" w:hAnsi="Times New Roman"/>
          <w:b/>
          <w:sz w:val="16"/>
        </w:rPr>
        <w:t xml:space="preserve">Michael S. Lee, Esq. </w:t>
      </w:r>
    </w:p>
    <w:p>
      <w:pPr>
        <w:pStyle w:val="TextBody"/>
        <w:bidi w:val="0"/>
        <w:spacing w:before="0" w:after="0"/>
        <w:jc w:val="center"/>
        <w:rPr>
          <w:rFonts w:ascii="Times New Roman" w:hAnsi="Times New Roman"/>
          <w:b/>
          <w:sz w:val="16"/>
        </w:rPr>
      </w:pPr>
      <w:r>
        <w:rPr>
          <w:rFonts w:ascii="Times New Roman" w:hAnsi="Times New Roman"/>
          <w:b/>
          <w:sz w:val="16"/>
        </w:rPr>
        <w:t xml:space="preserve">Donald C. Reinke, Esq. </w:t>
      </w:r>
    </w:p>
    <w:p>
      <w:pPr>
        <w:pStyle w:val="TextBody"/>
        <w:bidi w:val="0"/>
        <w:spacing w:before="0" w:after="0"/>
        <w:jc w:val="center"/>
        <w:rPr>
          <w:rFonts w:ascii="Times New Roman" w:hAnsi="Times New Roman"/>
          <w:b/>
          <w:sz w:val="16"/>
        </w:rPr>
      </w:pPr>
      <w:r>
        <w:rPr>
          <w:rFonts w:ascii="Times New Roman" w:hAnsi="Times New Roman"/>
          <w:b/>
          <w:sz w:val="16"/>
        </w:rPr>
        <w:t xml:space="preserve">Reed Smith LLP </w:t>
      </w:r>
    </w:p>
    <w:p>
      <w:pPr>
        <w:pStyle w:val="TextBody"/>
        <w:bidi w:val="0"/>
        <w:spacing w:before="0" w:after="0"/>
        <w:jc w:val="center"/>
        <w:rPr>
          <w:rFonts w:ascii="Times New Roman" w:hAnsi="Times New Roman"/>
          <w:b/>
          <w:sz w:val="16"/>
        </w:rPr>
      </w:pPr>
      <w:r>
        <w:rPr>
          <w:rFonts w:ascii="Times New Roman" w:hAnsi="Times New Roman"/>
          <w:b/>
          <w:sz w:val="16"/>
        </w:rPr>
        <w:t xml:space="preserve">1841 Page Mill Road, Suite 110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352-0500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bidi w:val="0"/>
        <w:spacing w:before="0" w:after="0"/>
        <w:jc w:val="center"/>
        <w:rPr>
          <w:rFonts w:ascii="Times New Roman" w:hAnsi="Times New Roman"/>
          <w:sz w:val="16"/>
        </w:rPr>
      </w:pPr>
      <w:r>
        <w:rPr>
          <w:rFonts w:ascii="Times New Roman" w:hAnsi="Times New Roman"/>
          <w:sz w:val="16"/>
        </w:rPr>
        <w:t xml:space="preserve">As soon as practicable after this Registration Statement becomes effective.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used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3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3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0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center"/>
              <w:rPr>
                <w:b/>
                <w:color w:val="FF4338"/>
              </w:rPr>
            </w:pPr>
            <w:r>
              <w:rPr>
                <w:b/>
                <w:color w:val="FF4338"/>
              </w:rPr>
              <w:t>PRELIMINARY PROSPECTUS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color w:val="FF4338"/>
              </w:rPr>
            </w:pPr>
            <w:r>
              <w:rPr>
                <w:b/>
                <w:color w:val="FF4338"/>
              </w:rPr>
              <w:t>SUBJECT TO COMPLETION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center"/>
              <w:rPr>
                <w:b/>
                <w:color w:val="FF4338"/>
              </w:rPr>
            </w:pPr>
            <w:r>
              <w:rPr>
                <w:b/>
                <w:color w:val="FF4338"/>
              </w:rPr>
              <w:t>DATED JULY 24, 2026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9260" cy="1116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69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Resale of up to 41,000,000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relates to the potential resale from time to time by C/M Capital Master Fund, LP (the “Selling Stockholder”) of up to 41,000,000 shares of voting common stock, par value $0.0001 per share, of Jaguar Health, Inc. (the “Company,” “we,” “our” or “us”). The shares of common stock to which this prospectus relates consist of shares that have been or may be issued by us to the Selling Stockholder pursuant to a common stock purchase agreement, dated as of June 9, 2026, by and between us and the Selling Stockholder (the “Purchase Agreement”), establishing an equity line of credit. Such shares of our common stock include (i) up to 40,000,000 shares of common stock, or the Purchase Shares, that we may elect, in our sole discretion, subject to the restrictions and satisfaction of the conditions in the Purchase Agreement, to issue and sell to the Selling Stockholder, from time to time from and after the Commencement Date (as defined below) under the Purchase Agreement, and subject to applicable stock exchange rules, and (ii) up to 1,000,000 shares of common stock (the “Commitment Shares”), of which     shares have been issued as of the date of this prospectus to the Selling Stockholder and     shares are issuable upon exercise of a pre-funded warrant to purchase common stock (the “Commitment Pre-Funded Warrant”) that has been issued to the Selling Stockholder, as consideration for the Selling Stockholder’s execution and delivery of the Purchase Agreement. </w:t>
      </w:r>
    </w:p>
    <w:p>
      <w:pPr>
        <w:pStyle w:val="TextBody"/>
        <w:bidi w:val="0"/>
        <w:spacing w:before="120" w:after="0"/>
        <w:jc w:val="left"/>
        <w:rPr>
          <w:rFonts w:ascii="Times New Roman" w:hAnsi="Times New Roman"/>
          <w:sz w:val="18"/>
        </w:rPr>
      </w:pPr>
      <w:r>
        <w:rPr>
          <w:rFonts w:ascii="Times New Roman" w:hAnsi="Times New Roman"/>
          <w:sz w:val="18"/>
        </w:rPr>
        <w:t xml:space="preserve">The actual number of shares of our common stock issuable will vary depending on the then-current market price of shares of our common stock sold to the Selling Stockholder under the Purchase Agreement, but will not exceed the number set forth in the preceding paragraphs unless we file an additional registration statement under the Securities Act of 1933, as amended (“Securities Act”), with the U.S. Securities and Exchange Commission (the “SEC”). </w:t>
      </w:r>
    </w:p>
    <w:p>
      <w:pPr>
        <w:pStyle w:val="TextBody"/>
        <w:bidi w:val="0"/>
        <w:spacing w:before="120" w:after="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 Additionally, we will not receive any proceeds from the issuance or sale of any Commitment Shares. However, we may receive up to $40 million in aggregate gross proceeds from the sale of the shares of common stock to the Selling Stockholder under the Purchase Agreement, from time to time in our discretion, subject to the restrictions and satisfaction of the conditions in the Purchase Agreement, after the date the registration statement that includes this prospectus is declared effective and after satisfaction of other conditions in the Purchase Agreement. The actual proceeds from the Selling Stockholder may be less than this amount depending on the number of shares of our common stock sold and the price at which the shares of our common stock are sold. </w:t>
      </w:r>
    </w:p>
    <w:p>
      <w:pPr>
        <w:pStyle w:val="TextBody"/>
        <w:bidi w:val="0"/>
        <w:spacing w:before="120" w:after="0"/>
        <w:jc w:val="left"/>
        <w:rPr>
          <w:rFonts w:ascii="Times New Roman" w:hAnsi="Times New Roman"/>
          <w:sz w:val="18"/>
        </w:rPr>
      </w:pPr>
      <w:r>
        <w:rPr>
          <w:rFonts w:ascii="Times New Roman" w:hAnsi="Times New Roman"/>
          <w:sz w:val="18"/>
        </w:rPr>
        <w:t>The Selling Stockholder may offer, sell or distribute all or a portion of the shares of our common stock acquired under the Purchase Agreement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 may sell or otherwise dispose of the shares of common stock being registered pursuant to this prospectus. The Selling Stockholder is an underwriter under the Securities Act with respect to the resale of shares held by it. </w:t>
      </w:r>
    </w:p>
    <w:p>
      <w:pPr>
        <w:pStyle w:val="TextBody"/>
        <w:bidi w:val="0"/>
        <w:spacing w:before="120" w:after="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i/>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on the Nasdaq Capital Market (“Nasdaq”) under the symbol “JAGX.” On July 14, 2026, the last reported sales price of our common stock on Nasdaq was $2.17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our securities involves a high degree of risk. You should review carefully the risks and uncertainties described under the heading “</w:t>
      </w:r>
      <w:hyperlink w:anchor="tx47881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4788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9">
              <w:r>
                <w:rPr>
                  <w:rStyle w:val="InternetLink"/>
                  <w:rFonts w:ascii="Times New Roman" w:hAnsi="Times New Roman"/>
                  <w:sz w:val="20"/>
                </w:rPr>
                <w:t>THE 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788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i/>
          <w:sz w:val="20"/>
          <w:u w:val="single"/>
        </w:rPr>
        <w:t>Where You Can Find More Information</w:t>
      </w:r>
      <w:r>
        <w:rPr>
          <w:rFonts w:ascii="Times New Roman" w:hAnsi="Times New Roman"/>
          <w:sz w:val="20"/>
        </w:rPr>
        <w:t>” and “</w:t>
      </w:r>
      <w:r>
        <w:rPr>
          <w:rFonts w:ascii="Times New Roman" w:hAnsi="Times New Roman"/>
          <w:i/>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7881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4788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Purchase Agreement with the Selling Stockholder, which provides that, upon the terms and subject to the conditions set forth therein, the Selling Stockholder is committed to purchase up to an aggregate of $40 million of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occur on or after the date of the Purchase Agreement (the “ELOC Floor Price”), the Company shall have the right, but not the obligation, to direct the Selling Stockholder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the Selling Stockholder’s committed obligation under any single Fixed Purchase shall not exceed $1,500,000 (provided that all shares of common stock in respect of all prior Fixed Purchases, VWAP Purchases and Additional VWAP Purchases shall have been delivered to the Selling Stockholder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the Selling Stockholder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the Selling Stockholder’s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the Selling Stockholder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the Selling Stockholder’s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the Selling Stockholder’s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Selling Stockholder’s execution and delivery of the Purchase Agreement, the Company agreed to issue to the Selling Stockholder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shares of common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the Selling Stockholder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the Selling Stockholder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the Selling Stockholder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Selling Stockholder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certain investors named therein, including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u w:val="single"/>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4788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8" w:type="dxa"/>
            <w:tcBorders/>
          </w:tcPr>
          <w:p>
            <w:pPr>
              <w:pStyle w:val="TableContents"/>
              <w:bidi w:val="0"/>
              <w:spacing w:before="0" w:after="283"/>
              <w:jc w:val="left"/>
              <w:rPr/>
            </w:pPr>
            <w:r>
              <w:rPr/>
              <w:t xml:space="preserve">41,000,000 shares of our common stock, consisting of (i) up to 40,000,000 Purchase Shares that may be issued by us to the Selling Stockholder, from time to time at our sole discretion, pursuant to the Purchase Agreement, and (ii) up to 1,000,000 Commitment Shares, of which    shares are issued and outstanding as of the date of this prospectus to the Selling Stockholder and    shares are issuable upon exercise of the Commitment Pre-Funded Warrant that has been issued to the Selling Stockholder as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45,910,402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28" w:type="dxa"/>
            <w:tcBorders/>
          </w:tcPr>
          <w:p>
            <w:pPr>
              <w:pStyle w:val="TableContents"/>
              <w:bidi w:val="0"/>
              <w:spacing w:before="0" w:after="283"/>
              <w:jc w:val="left"/>
              <w:rPr/>
            </w:pPr>
            <w:r>
              <w:rPr/>
              <w:t xml:space="preserve">The Selling Stockholder will determine when and how it will dispose of any shares of our common stock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7" w:type="dxa"/>
            <w:tcBorders/>
          </w:tcPr>
          <w:p>
            <w:pPr>
              <w:pStyle w:val="TableContents"/>
              <w:bidi w:val="0"/>
              <w:spacing w:before="0" w:after="283"/>
              <w:jc w:val="left"/>
              <w:rPr/>
            </w:pPr>
            <w:r>
              <w:rPr/>
              <w:t xml:space="preserve">We will not receive any of the proceeds from the sale of shares of our common stock offered by the Selling Stockholder. Additionally, we will not receive any proceeds from the issuance or sale of any Commitment Shares. We may receive up to $40,000,000 in aggregate gross proceeds from the Selling Stockholder under the Purchase Agreement in connection with sales of our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We intend to use of the net proceeds that we receive under the Purchase Agreement for working capital and other general corporate purposes, including the redemption of shares of Series P Preferred Stock in accordance with the terms of the Certificate of Designation for the Series P Preferred Stock. However, as of the date of this prospectus, we cannot specify with certainty all of the particular uses, and the respective amounts we may allocate to those uses, for any net proceeds we receive. See “Use of Proceeds” on page 21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Stock Symbol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4788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Financing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the Selling Stockholder shall, subject to the restrictions and satisfaction of the conditions in the Purchase Agreement, purchase from us up to $40,000,000 of shares of common stock, upon the terms and subject to the conditions and limitations set forth in the Purchase Agreement (such amount, the “Commitment Amount”). We have registered 40,000,000 shares (excluding the Commitment Shares) for future issuance under the Purchase Agreement and resale pursuant to this prospectus. The shares of our common stock that may be issued under the Purchase Agreement may be sold, subject to the restrictions and satisfaction of the conditions in the Purchase Agreement, by us to the Selling Stockholder at our discretion from time to time from the Commencement Date (as defined below) until the earlier to occur of (i) the date on which the Selling Stockholder shall have purchased the Commitment Amount, and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right to commence any sales of common stock to the Selling Stockholder under the Purchase Agreement until the time when all of the conditions to our right to commence sales of common stock to the Selling Stockholder set forth in the Purchase Agreement have been satisfied, or the Commencement Date, including the effectiveness of the registration statement of which this prospectus forms a part. From and after the Commencement Date, we will generally have the right to control the timing and amount of any sales of our common stock to the Selling Stockholder under the Purchase Agreement. Sales of our common stock, if any, to the Selling Stockholder under the Purchase Agreement will depend upon market conditions, our capital needs, alternative financing options, and other factors to be determined by us in our sole discretion. We may ultimately decide to sell to the Selling Stockholder all, some or none of the common stock that may be available for us to sell to the Selling Stockholder pursuant to the Purchase Agreement. Accordingly, we cannot guarantee that we will be able to sell all of the Commitment Amount or how much in proceeds we may obtain under the Purchase Agreement. If we cannot sell securities under the Committed Equity Financing, we may be required to utilize more costly and time-consuming means of accessing the capital markets, which could have a material adverse effect on our liquidity and cash position.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of common stock to be paid by the Selling Stockholder for the common stock that we may elect to sell to the Selling Stockholder under the Purchase Agreement, if any, will fluctuate based on the market prices of our common stock at the time we make such election, it is not possible for us to predict, as of the date of this prospectus and prior to any such sales, the number of shares of common stock that we will sell to the Selling Stockholder under the Purchase Agreement, the purchase price per share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Stockholder will pay for shares of common stock purchased from us under the Purchase Agreement, or the aggregate gross proceeds that we will receive from those purchases the Selling Stockholder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41,000,000 shares of our common stock (including the Commitment Shares) under this prospectus. As of July 10, 2026, there were 4,910,402 shares of common stock outstanding. If all of the 41,000,000 shares of our common stock offered for resale by the Selling Stockholder under this prospectus were issued and outstanding as of July 10, 2026, such shares would represent in excess of 89.3% of total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our common stock issuable will vary depending on the then current market price of shares of our common stock sold to the Selling Stockholder in this offering and the number of shares of our common stock we ultimately elect to sell to the Selling Stockholder under the Purchase Agreement. If it becomes necessary for us to issue and sell to the Selling Stockholder under the Purchase Agreement more than the amount of purchase shares being registered for resale under this prospectus in order to receive aggregate gross proceeds equal to $40,000,000 under the Purchase Agreement, we must file with the SEC one or more additional registration statements to register under the Securities Act the resale by the Selling Stockholder of any such additional shares of our common stock we wish to sell from time to time under the Purchase Agreement, which the SEC must declare effective, in each case before we may elect to sell any additional shares of our common stock under the Purchase Agreement. Pursuant to the terms of the Purchase Agreement, until either the Company obtains the approval of stockholders pursuant to Nasdaq Listing Rule 5635(d) (“Rule 5635(d)”) (the “Stockholder Approval”)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our shares of common stock issued and outstanding immediately prior to the execution of the Purchase Agreement. As previously reported, the Company reconvened its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 is not obligated to buy any common stock under the Purchase Agreement if such shares, when aggregated with all other common stock then beneficially owned by the Selling Stockholder and its affiliates (as calculated pursuant to Section 13(d) of the Securities Exchange Act, and Rule 13d-3 promulgated thereunder), would result in the Selling Stockholder beneficially owning common stock in excess of 4.99% of the then-outstanding shares of common stock, or the Beneficial Ownership Limitation. Our inability to access a portion or the full amount available under the Purchase Agreement, in the absence of any other financing sources, could have a material adverse effect on our business or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Selling Stockholder will pay less than the then-prevailing market price for our common stock, which could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our common stock to be sold to the Selling Stockholder under the Purchase Agreement is derived from the market price of our common stock on The Nasdaq Capital Market. Shares to be sold to the Selling Stockholder pursuant to the Purchase Agreement will be purchased at a discounted price.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effect sales to the Selling Stockholder pursuant to a VWAP Purchase Notice at a purchase price equal to 95% of the lowest of (i) the VWAP for the applicable VWAP Purchase Period during the applicable VWAP Purchase Date for such VWAP Purchase, (ii) the lowest traded price of our common stock during the five trading days immediately preceding the VWAP Purchase Date, and (iii) the Closing Sale Price of our common stock on such applicable VWAP Purchase Date for such VWAP Purchase. This pricing mechanism means that shares will always be sold at a 5% or greater discount to market price. See “The Committed Equity Financing”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this pricing structure, the Selling Stockholder may sell the shares they receive immediately after receipt of such shares, which could cause the price of our common stock to decrease. This immediate resale could create downward pressure on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of common stock from the Selling Stockholder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have discretion (subject to the restrictions and satisfaction of the conditions in the Purchase Agreement) to vary the timing, price and number of shares of common stock we sell to the Selling Stockholder. If and when we elect to sell shares of common stock to the Selling Stockholder pursuant to the Purchase Agreement, after the Selling Stockholder has acquired such shares, the Selling Stockholder may resell all, some or none of such shares at any time or from time to time in its sole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sell a substantial number of shares to the Selling Stockholder under the Purchase Agreement, or if investors expect that we will do so, the actual sales of shares or the mere existence of our arrangements with the Selling Stockholder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and/or issuances of shares of common stock, including pursuant to this prospectus, or the perception that such sales may occur, may cause the market price of our shares to drop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Purchase Agreement, pursuant to which the Selling Stockholder shall, subject to the restrictions and satisfaction of the conditions in the Purchase Agreement, purchase from us up to an aggregate of $40,000,000 of shares of common stock, upon the terms and subject to the conditions and limitations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subject to the restrictions and satisfaction of the conditions in the Purchase Agreement, by us to the Selling Stockholder at our discretion from time to time from the date of effectiveness of the registration statement of which this prospectus forms a part until the earlier to occur of (i) the date on which the Selling Stockholder shall have purchased the Commitment Amount, or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shares of our common stock that we may sell to the Selling Stockholder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the Selling Stockholder. Additional sales of shares of our common stock, if any, to the Selling Stockholder will depend upon market conditions and other factors to be determined by us. We may ultimately decide to sell to the Selling Stockholder all, some or none of the additional shares of our common stock that may be available for us to sell pursuant to the Purchase Agreement. If and when we do sell shares of our common stock to the Selling Stockholder, after the Selling Stockholder has acquired shares of our common stock, the Selling Stockholder may resell all, some, or none of such shares of our common stock at any time or from time to time in its discretion and at different prices. Therefore, sales to the Selling Stockholder by us could result in substantial dilution to the interests of other holders of shares of our common stock. In addition, if we sell a substantial number of shares of our common stock to the Selling Stockholder under the Purchase Agreement, or if investors expect that we will do so, the shares held by the Selling Stockholder will represent a significant portion of our public float and may result in substantial decreases to the price of our common stock. The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shares of our common stock or the mere existence of our arrangement with the Selling Stockholder may also make it more difficult for us to sell equity or equity-related securities in the future at a time and at a price that we might otherwise wish to affect such sales </w:t>
      </w:r>
    </w:p>
    <w:p>
      <w:pPr>
        <w:pStyle w:val="TextBody"/>
        <w:bidi w:val="0"/>
        <w:spacing w:before="240" w:after="0"/>
        <w:jc w:val="left"/>
        <w:rPr>
          <w:rFonts w:ascii="Times New Roman" w:hAnsi="Times New Roman"/>
          <w:sz w:val="20"/>
        </w:rPr>
      </w:pPr>
      <w:r>
        <w:rPr>
          <w:rFonts w:ascii="Times New Roman" w:hAnsi="Times New Roman"/>
          <w:sz w:val="20"/>
        </w:rPr>
        <w:t>We presently have 76,077 shares of common stock issuable upon exercise of warrants outstanding (including pre-funded warrants), 5,293 shares of common stock issuable upon exercise of outstanding options under the 2014 Stock Incentive Plan, and 4,573 shares of common stock issuable upon vesting of outstanding restricted stock unit awards (“RSUs”) under the 2014 Stock Incentive Plan, respectively. Shares of our common stock issuable upon exercise or vesting of incentive awards under our equity compensation plans are, once issued, eligible for sale in the public market, subject to any lock-up agreements and, in some cases, limitations on volume and manner of sale applicable to affiliates under Rule 144. Furthermore, shares of our common stock reserved for future issuance under our equity compensation plans may become available for sale in the future.</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proceeds from sales of our common stock made pursuant to the Purchase Agreement in ways with which you may not agree or in ways which may not yield a significant return. </w:t>
      </w:r>
    </w:p>
    <w:p>
      <w:pPr>
        <w:pStyle w:val="TextBody"/>
        <w:bidi w:val="0"/>
        <w:spacing w:before="240" w:after="0"/>
        <w:jc w:val="left"/>
        <w:rPr>
          <w:rFonts w:ascii="Times New Roman" w:hAnsi="Times New Roman"/>
          <w:sz w:val="20"/>
        </w:rPr>
      </w:pPr>
      <w:r>
        <w:rPr>
          <w:rFonts w:ascii="Times New Roman" w:hAnsi="Times New Roman"/>
          <w:sz w:val="20"/>
        </w:rPr>
        <w:t xml:space="preserve">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do not raise debt or equity capital, we may not be able to pay all of our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extent we rely on the Selling Stockholder as a source of funding will depend on a number of factors including, the prevailing market price of our common stock and volume of trading and the extent to which we are able to secure working capital from other sources. If obtaining sufficient funding from the Selling Stockholder does not occur for any reason including the Selling Stockholder suffering liquidity issues or failure of the Company to keep the registration statement current, we will need to secure other sources of funding in order to pay off our contractual obligations. Should the financing we require be unavailable or prohibitively expensive when we require it, such circumstances would likely have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47881_6"/>
      <w:bookmarkEnd w:id="8"/>
      <w:r>
        <w:rPr>
          <w:rFonts w:ascii="Times New Roman" w:hAnsi="Times New Roman"/>
          <w:b/>
          <w:sz w:val="20"/>
        </w:rPr>
        <w:t xml:space="preserve">THE COMMITTED EQUITY FINANCING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a common stock purchase agreement (the “Purchase Agreement”) with an accredited investor, C/M Capital Master Fund, LP (“C/M Capital”), which provides that, upon the terms and subject to the conditions set forth therein, C/M Capital is committed to purchase up to an aggregate of $40 million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Fixed Purchase</w:t>
      </w:r>
      <w:r>
        <w:rPr>
          <w:rFonts w:ascii="Times New Roman" w:hAnsi="Times New Roman"/>
          <w:sz w:val="20"/>
        </w:rPr>
        <w:t xml:space="preserve">: on the Commencement Date (as defined in the Purchase Agreement) and from time to time thereafter, subject to the satisfaction of certain conditions and on any business day selected by us where the closing sale price of the common stock is equal to or greater than $1.10 per share, as adjusted for any reorganization, recapitalization, stock split, reverse stock split, or other similar transactions that occur on or after the date of the Purchase Agreement (the “Floor Price”), we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Additional VWAP Purchase: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consideration for C/M Capital’s execution and delivery of the Purchase Agreement, we agreed to issue to C/M Capital on the effective date of the Registration Statement (as defined hereunder) $800,000 worth of our common stock, valued at the VWAP Purchase Price as of such effective date (the “Commitment Shares”). The Commitment Shares will be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until either the stockholder approval (as defined in the Purchase Agreement) (the “Stockholder Approval”) is obtained or certain other conditions are met, we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we reconvened the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as provided thereunder, the Purchase Agreement shall terminate automatically on the earliest to occur of (i) the expiration of the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includes representations, warranties, and covenants customary for a transaction of this type.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pursuant to the Purchase Agreement, we entered into a registration rights agreement with C/M Capital (the “Registration Rights Agreement”), pursuant to which we are required to file a registration statement on Form S-1 (the “Registration Statement”) within 30 days after the execution date of the Purchase Agreement, to register the resale of all of (i) the shares of common stock to be sold and issued by us to C/M Capital under the Purchase Agreement, (ii) the Commitment Shares, and (iii) any securities of the Company issued or issuable with respect to the forementioned shares or Commitment Shares. We shall use commercially reasonable efforts to have the Registration Statement declared effective by the U.S. Securities and Exchange Commission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the Selling Stockholder under the Purchase Agreement, including but not limited to the following: substantial dilution, significant declines in our stock price and our inability to draw sufficient funds when needed. See “Risk Factors.” The sale of our common stock to the Selling Stockholder under the Purchase Agreement will not affect the rights or privileges of our other stockholders, except that the economic and voting interests of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will be diluted as a result of any such sale. Although the number of shares of common stock that our other stockholders own will not decrease, the shares owned by our other stockholders will represent a smaller percentage of our total outstanding shares after any such sale to the Selling Stockholder under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Precedent to Commencement </w:t>
      </w:r>
    </w:p>
    <w:p>
      <w:pPr>
        <w:pStyle w:val="TextBody"/>
        <w:bidi w:val="0"/>
        <w:spacing w:before="120" w:after="0"/>
        <w:jc w:val="left"/>
        <w:rPr>
          <w:rFonts w:ascii="Times New Roman" w:hAnsi="Times New Roman"/>
          <w:sz w:val="20"/>
        </w:rPr>
      </w:pPr>
      <w:r>
        <w:rPr>
          <w:rFonts w:ascii="Times New Roman" w:hAnsi="Times New Roman"/>
          <w:sz w:val="20"/>
        </w:rPr>
        <w:t xml:space="preserve">Our right to commence delivering Fixed Purchase Notices, VWAP Purchase Notices and Additional VWAP Purchase Notices (collectively, “Purchase Notices”) under the Purchase Agreement and the Selling Stockholder’s obligation to accept such Purchase Notices, are subject to the initial satisfaction, at the Commencement Date, of the conditions precedent thereto set forth in the Purchase Agreement, which conditions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our representations and warranties included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and all reports, schedules, registrations, forms, statements, information and other documents required to have been filed by us with the SEC pursuant to the reporting requirements of the Exchange Act having been so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not having been suspended by the SEC, Nasdaq or FINRA;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defined in the Purchase Agreement)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compliance with laws and bankruptcy-related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Selling Stockholder of a customary legal opinion, as required under the Purchase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The common stock being registered for resale in this offering may be issued and sold by us to the Selling Stockholder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Selling Stockholder under the Purchase Agreement will be determined by us in our sole discretion, subject to the satisfaction of certain conditions in the Purchase Agreement, and will depend upon market conditions and other factors. We may ultimately decide to sell to the Selling Stockholder all, some or none of the common stock that may be available for us to sell to the Selling Stockholder pursuant to the Purchase Agreement. If we elect to sell common stock to the Selling Stockholder pursuant to the Purchase Agreement, after the Selling Stockholder has acquired such shares, the Selling Stockholder may resell all, some or none of such common stock at any time or from time to time in its discretion and at different prices. As a result, investors who purchase common stock from the Selling Stockholder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hAnsi="Times New Roman"/>
          <w:i/>
          <w:sz w:val="20"/>
          <w:u w:val="single"/>
        </w:rPr>
        <w:t>Risk Factors-Risks Related to the Committed Equity Financings-Investors who buy shares of common stock from the Selling Stockholder at different times will likely pay different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experience a decline in the value of the common stock they purchase from the Selling Stockholder in this offering as a result of future sales made by us to the Selling Stockholder at prices lower than the prices such investors paid for their shares in this offering. In addition, if we sell a substantial number of shares of common stock to the Selling Stockholder under the Purchase Agreement, or if investors expect that we will do so, the actual sales of common stock or the mere existence of our arrangement with the Selling Stockholder may make it more difficult for us to sell equity or equity-related securities in the future at a time and at a price that we might otherwise wish to effect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purchase price per share to be paid by the Selling Stockholder for the common stock that we may elect to sell to the Selling Stockholder under the Purchase Agreement, if any, will fluctuate based on the market prices of our common stock at the time we make such election, as of the date of this prospectus, it is not possible for us to predict the number of shares of common stock that we will sell to the Selling Stockholder under the Purchase Agreement, the actual purchase price per share to be paid by the Selling Stockholder for those shares of common stock, or the actual gross proceeds to be raised by us from those sales, if any.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offered for sale by the Selling Stockholder for resale under this prospectus is dependent upon the number of shares of common stock, if any, we ultimately sell to the Selling Stockholder under the Purchase Agreement. Further, if and when we elect to sell shares of common stock to the Selling Stockholder pursuant to the Purchase Agreement, after the Selling Stockholder has acquired such shares, the Selling Stockholder may resell all, some, or none of such shares of common stock at any time or from time to time in its discretion and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at varying purchase prices assuming we sell to the Selling Stockholder under the Purchase Agreement the lesser of (i) the maximum number of Purchase Shares offered by this prospectus and (ii) the maximum number of Purchase Shares that we may sell to the Selling Stockholder that results in the sale of shares of common stock with an aggregate purchase price of $40 million: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25"/>
        <w:gridCol w:w="278"/>
        <w:gridCol w:w="60"/>
        <w:gridCol w:w="1114"/>
        <w:gridCol w:w="60"/>
        <w:gridCol w:w="278"/>
        <w:gridCol w:w="254"/>
        <w:gridCol w:w="2408"/>
        <w:gridCol w:w="275"/>
        <w:gridCol w:w="208"/>
        <w:gridCol w:w="149"/>
        <w:gridCol w:w="1199"/>
        <w:gridCol w:w="64"/>
      </w:tblGrid>
      <w:tr>
        <w:trPr/>
        <w:tc>
          <w:tcPr>
            <w:tcW w:w="222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Assumed Trading Price of</w:t>
              <w:br/>
              <w:t>Common Stock</w:t>
            </w:r>
          </w:p>
        </w:tc>
        <w:tc>
          <w:tcPr>
            <w:tcW w:w="278"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Sold</w:t>
            </w:r>
            <w:r>
              <w:rPr/>
              <w:br/>
            </w:r>
            <w:r>
              <w:rPr>
                <w:b/>
              </w:rPr>
              <w:t>Under the</w:t>
            </w:r>
            <w:r>
              <w:rPr/>
              <w:br/>
            </w:r>
            <w:r>
              <w:rPr>
                <w:b/>
              </w:rPr>
              <w:t>ELOC(1)</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66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br/>
              <w:t>Outstanding</w:t>
            </w:r>
            <w:r>
              <w:rPr/>
              <w:br/>
            </w:r>
            <w:r>
              <w:rPr>
                <w:b/>
              </w:rPr>
              <w:t>shares of</w:t>
              <w:br/>
              <w:t>Common</w:t>
            </w:r>
            <w:r>
              <w:rPr/>
              <w:br/>
            </w:r>
            <w:r>
              <w:rPr>
                <w:b/>
              </w:rPr>
              <w:t>Stock</w:t>
            </w:r>
            <w:r>
              <w:rPr/>
              <w:br/>
            </w:r>
            <w:r>
              <w:rPr>
                <w:b/>
              </w:rPr>
              <w:t>After Giving</w:t>
              <w:br/>
              <w:t>Effect to</w:t>
              <w:br/>
              <w:t>Issuances to</w:t>
            </w:r>
            <w:r>
              <w:rPr/>
              <w:br/>
            </w:r>
            <w:r>
              <w:rPr>
                <w:b/>
              </w:rPr>
              <w:t>the Selling Stockholder (2)</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w:t>
            </w:r>
            <w:r>
              <w:rPr/>
              <w:br/>
            </w:r>
            <w:r>
              <w:rPr>
                <w:b/>
              </w:rPr>
              <w:t>for Common</w:t>
            </w:r>
            <w:r>
              <w:rPr/>
              <w:br/>
            </w:r>
            <w:r>
              <w:rPr>
                <w:b/>
              </w:rPr>
              <w:t>Stock Sold</w:t>
            </w:r>
            <w:r>
              <w:rPr/>
              <w:br/>
            </w:r>
            <w:r>
              <w:rPr>
                <w:b/>
              </w:rPr>
              <w:t>Under the</w:t>
            </w:r>
            <w:r>
              <w:rPr/>
              <w:br/>
            </w:r>
            <w:r>
              <w:rPr>
                <w:b/>
              </w:rPr>
              <w:t>ELOC(3)</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$2.31(4)</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17,316,017</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77.91</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89.07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80.29</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$4.00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67.07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61.97</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Purchase Shares offered by this prospectus may not cover all common stock we ultimately may sell to the Selling Stockholder under the Purchase Agreement, depending on the purchase price per share of such sales. We have included in this column only those Purchase Shares being offered for resale by the Selling Stockholder under this prospectus, without regard to the beneficial ownership limitation. The assumed average purchase prices are solely for illustrative purposes and are not intended to be estimates or predictions of the future performance of our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used to calculate the percentages in this column is based on 4,910,402 shares of common stock outstanding as of July 10, 2026, adjusted to include the shares of common stock issued and sold to the Selling Stockholder under the Purchase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represent the illustrative aggregate purchase price to be received by us from the sale of all of the shares of Common Stock issued and sold to the Selling Stockholder under the Purchase Agreement as set forth in the second column, multiplied by the VWAP Purchase Price, assuming for illustrative purposes that the VWAP Purchase Price is equal to 100% of the assumed trading price of shares of common stock listed in the first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of our Common Stock on Nasdaq on July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4788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offered by the Selling Stockholder. In addition, we will not receive any proceeds from the issuance or sale of the Commitment Shares. We may receive up to $40,000,000 in aggregate gross proceeds from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for working capital and other general corporate purposes, including the redemption of shares of Series P Preferred Stock in accordance with the terms of the Certificate of Designation for the Series P Preferred Stock. Our expected use of the net proceeds from this offering represents our intentions based upon our current plans and business conditions. As of the date of this prospectus, we cannot predict with certainty all of the particular uses for the net proceeds from this offering or the specific amounts to be spent on the uses described above. As a result, our management will retain broad discretion over the allocation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7881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7881_9"/>
      <w:bookmarkEnd w:id="11"/>
      <w:r>
        <w:rPr>
          <w:rFonts w:ascii="Times New Roman" w:hAnsi="Times New Roman"/>
          <w:b/>
          <w:sz w:val="20"/>
        </w:rPr>
        <w:t xml:space="preserve">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 of any or all shares of our common stock that have been or may be issued by us to the Selling Stockholder under the Purchase Agreement. Such shares of our common stock include (i) up to 40,000,000 Purchase Shares that we may elect, in our sole discretion, to issue and sell to the Selling Stockholder, from time to time from and after the Commencement Date under the Purchase Agreement; and (ii) up to 1,000,000 Commitment Shares issued or issuable to the Selling Stockholder as consideration for the Selling Stockholder’s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 includes the Selling Stockholder listed in the table below, and its permitted pledgees, donees, transferees, assignees, successors, designees, successors-in-interest and others who later come to hold any of the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Committed Equity Financing</w:t>
      </w:r>
      <w:r>
        <w:rPr>
          <w:rFonts w:ascii="Times New Roman" w:hAnsi="Times New Roman"/>
          <w:sz w:val="20"/>
        </w:rPr>
        <w:t xml:space="preserve">” above. We are registering the shares of common stock pursuant to the provisions of the Purchase Agreement and the Registration Rights Agreement in order to permit the Selling Stockholder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securities purchase agreements (each a “Preferred Stock Purchase Agreement” and collectively, the “Preferred Stock Purchase Agreements”) with the Selling Stockholder and an investor named therein that is affiliated with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Purchase Agreement and the Registration Rights Agreement and the transactions as disclosed above, the Selling Stockholder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Stockholder and the shares of common stock that it may offer from time to time under this prospectus. This table is prepared based on information supplied to us by the Selling Stockholder, and reflects holdings as of July 10, 2026. The number of shares in the column “Maximum Number of Shares of Common Stock to be Offered Pursuant to this Prospectus” represents all of the shares of common stock that the Selling Stockholder may offer under this prospectus. The Selling Stockholder may sell some, all or none of its shares in this offering. We do not know how long the Selling Stockholder will hold the shares before selling them, and we currently have no agreements, arrangements or understandings with the Selling Stockholder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the Selling Stockholder has voting and investment power. The percentage of common stock beneficially owned by the Selling Stockholder prior to the offering shown in the table below is based on an aggregate of 4,910,402 shares of our common stock outstanding on July 10, 2026. Because the purchase price of the common stock issuable under the Purchase Agreement is determined on each Fixed Purchase Date, with respect to a Fixed Purchase and on the applicable VWAP Purchase Date (or the applicable Additional VWAP Purchase Date), with respect to a VWAP Purchase (or Additional VWAP Purchase), the number of shares that may actually be sold by us to the Selling Stockholder under the Purchase Agreement may be fewer than the number of shares being offered by this prospectus. The fourth column assumes the sale of all of the shares offered by the Selling Stockholder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0" w:after="0"/>
        <w:jc w:val="left"/>
        <w:rPr/>
      </w:pPr>
      <w:r>
        <w:rPr/>
        <w:t> </w:t>
      </w:r>
    </w:p>
    <w:tbl>
      <w:tblPr>
        <w:tblW w:w="11082" w:type="dxa"/>
        <w:jc w:val="center"/>
        <w:tblInd w:w="0" w:type="dxa"/>
        <w:tblLayout w:type="fixed"/>
        <w:tblCellMar>
          <w:top w:w="0" w:type="dxa"/>
          <w:left w:w="0" w:type="dxa"/>
          <w:bottom w:w="0" w:type="dxa"/>
          <w:right w:w="0" w:type="dxa"/>
        </w:tblCellMar>
      </w:tblPr>
      <w:tblGrid>
        <w:gridCol w:w="2075"/>
        <w:gridCol w:w="120"/>
        <w:gridCol w:w="316"/>
        <w:gridCol w:w="739"/>
        <w:gridCol w:w="247"/>
        <w:gridCol w:w="494"/>
        <w:gridCol w:w="247"/>
        <w:gridCol w:w="579"/>
        <w:gridCol w:w="60"/>
        <w:gridCol w:w="120"/>
        <w:gridCol w:w="134"/>
        <w:gridCol w:w="2466"/>
        <w:gridCol w:w="60"/>
        <w:gridCol w:w="120"/>
        <w:gridCol w:w="335"/>
        <w:gridCol w:w="783"/>
        <w:gridCol w:w="335"/>
        <w:gridCol w:w="671"/>
        <w:gridCol w:w="335"/>
        <w:gridCol w:w="786"/>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26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Owned</w:t>
              <w:br/>
              <w:t>Prior to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 Stock</w:t>
              <w:br/>
              <w:t>to be Offered Pursuant</w:t>
              <w:br/>
              <w:t>to this Prospectus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 Owned After</w:t>
              <w:br/>
              <w:t>Offering</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Number (1)</w:t>
            </w:r>
          </w:p>
        </w:tc>
        <w:tc>
          <w:tcPr>
            <w:tcW w:w="247"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Number</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(2)</w:t>
            </w:r>
          </w:p>
        </w:tc>
        <w:tc>
          <w:tcPr>
            <w:tcW w:w="12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0</w:t>
            </w:r>
          </w:p>
        </w:tc>
        <w:tc>
          <w:tcPr>
            <w:tcW w:w="247"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66" w:type="dxa"/>
            <w:tcBorders/>
            <w:shd w:fill="CCEEFF" w:val="clear"/>
            <w:vAlign w:val="bottom"/>
          </w:tcPr>
          <w:p>
            <w:pPr>
              <w:pStyle w:val="TableContents"/>
              <w:bidi w:val="0"/>
              <w:spacing w:before="0" w:after="283"/>
              <w:jc w:val="right"/>
              <w:rPr/>
            </w:pPr>
            <w:r>
              <w:rPr/>
              <w:t>41,000,000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0</w:t>
            </w:r>
          </w:p>
        </w:tc>
        <w:tc>
          <w:tcPr>
            <w:tcW w:w="33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13d-3(d) under the Exchange Act, we have excluded from the number of shares beneficially owned prior to the offering all of the shares that the Selling Stockholder may be required to purchase under the Purchase Agreement, because the issuance of such shares is solely at our discretion and is subject to conditions contained in the Purchase Agreement, the satisfaction of which are entirely outside of the Selling Stockholder’s control, including the registration statement that includes this prospectus becoming and remaining effective. Furthermore, the Fixed Purchase, VWAP Purchase or Additional VWAP Purchase, as applicable, of common stock is subject to certain agreed upon maximum amount limitations set forth in the Purchase Agreement. Also, the Purchase Agreement prohibits us from issuing and selling any of our common stock to the Selling Stockholder to the extent such shares, when aggregated with all other common stock then beneficially owned by the Selling Stockholder, would cause the Selling Stockholder beneficial ownership of our common stock to exceed the Beneficial Ownership Limitation (as defined in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Purchase Agreement, C/M Capital did not beneficially own any shares of our common stock. Thomas Walsh and Jonathan Juchno are the Managing Partners of C/M Capital, and therefore may be deemed to have shared voting and investment power over securities owned directly and indirectly by C/M Capital.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788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Selling Stockholder has informed us that each such broker-dealer will receive commissions from the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our common stock sold by the Selling Stockholder may be less than or in excess of customary commissions. Neither we nor the Selling Stockholder can presently estimate the amount of compensation that any agent will receive from any purchasers of our common stock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the Selling Stockholder or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the names of any brokers, dealers, underwriters or agents participating in the distribution of such shares by the Selling Stockholder, any compensation paid by the Selling Stockholder to any such brokers, dealers, underwriters or agents, and any other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 As consideration for its irrevocable commitment to purchase our common stock under the Purchase Agreement, we have agreed to issue to the Selling Stockholder $800,000 worth of our shares of common stock, issuable on the effective date of this registration statement, valued at the VWAP Purchase Price as of such date, as Commitment Shares. We have also agreed to pay to the Selling Stockholder $35,000 in cash as reimbursement for the reasonable, out-of-pocket expenses incurred by the Selling Stockholder, including the legal fees and disbursements of the Selling Stockholder’s legal counsel, in connection with its due diligence investigation of the Company and in connection with the preparation, negotiation and execution of the Purchase Agreement. See “</w:t>
      </w:r>
      <w:r>
        <w:rPr>
          <w:rFonts w:ascii="Times New Roman" w:hAnsi="Times New Roman"/>
          <w:i/>
          <w:sz w:val="20"/>
          <w:u w:val="single"/>
        </w:rPr>
        <w:t>The Committed Equity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Selling Stockholder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The Selling Stockholder has agreed to indemnify us against liabilities under the Securities Act that may arise from certain written information furnished to us by the Selling Stockholder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represented to us that at no time prior to the date of the Purchase Agreement has the Selling Stockholder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The Selling Stockholder has agreed that during the term of the Purchase Agreement, neither the Selling Stockholder, nor any of its agents, representatives or affiliates will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47881_11"/>
      <w:bookmarkEnd w:id="13"/>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w:t>
      </w:r>
      <w:r>
        <w:rPr>
          <w:rFonts w:ascii="Times New Roman" w:hAnsi="Times New Roman"/>
          <w:i/>
          <w:sz w:val="20"/>
          <w:u w:val="single"/>
        </w:rPr>
        <w:t>Description of Capital Stock</w:t>
      </w:r>
      <w:r>
        <w:rPr>
          <w:rFonts w:ascii="Times New Roman" w:hAnsi="Times New Roman"/>
          <w:sz w:val="20"/>
        </w:rPr>
        <w:t xml:space="preserve">,”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788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480" w:after="0"/>
        <w:jc w:val="center"/>
        <w:rPr>
          <w:rFonts w:ascii="Times New Roman" w:hAnsi="Times New Roman"/>
          <w:b/>
          <w:sz w:val="20"/>
        </w:rPr>
      </w:pPr>
      <w:bookmarkStart w:id="15" w:name="tx4788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7881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788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May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held on </w:t>
            </w:r>
            <w:hyperlink r:id="rId5">
              <w:r>
                <w:rPr>
                  <w:rStyle w:val="InternetLink"/>
                  <w:rFonts w:ascii="Times New Roman" w:hAnsi="Times New Roman"/>
                  <w:sz w:val="20"/>
                </w:rPr>
                <w:t>April 20, 2026</w:t>
              </w:r>
            </w:hyperlink>
            <w:r>
              <w:rPr>
                <w:rFonts w:ascii="Times New Roman" w:hAnsi="Times New Roman"/>
                <w:sz w:val="20"/>
              </w:rPr>
              <w:t xml:space="preserve">, filed on </w:t>
            </w:r>
            <w:hyperlink r:id="rId6">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7">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8">
              <w:r>
                <w:rPr>
                  <w:rStyle w:val="InternetLink"/>
                  <w:rFonts w:ascii="Times New Roman" w:hAnsi="Times New Roman"/>
                  <w:sz w:val="20"/>
                </w:rPr>
                <w:t>May  6,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0">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1">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2">
              <w:r>
                <w:rPr>
                  <w:rStyle w:val="InternetLink"/>
                  <w:rFonts w:ascii="Times New Roman" w:hAnsi="Times New Roman"/>
                  <w:sz w:val="20"/>
                </w:rPr>
                <w:t>January  15, 2026</w:t>
              </w:r>
            </w:hyperlink>
            <w:r>
              <w:rPr>
                <w:rFonts w:ascii="Times New Roman" w:hAnsi="Times New Roman"/>
                <w:sz w:val="20"/>
              </w:rPr>
              <w:t xml:space="preserve">, </w:t>
            </w:r>
            <w:hyperlink r:id="rId13">
              <w:r>
                <w:rPr>
                  <w:rStyle w:val="InternetLink"/>
                  <w:rFonts w:ascii="Times New Roman" w:hAnsi="Times New Roman"/>
                  <w:sz w:val="20"/>
                </w:rPr>
                <w:t>January  23, 2026</w:t>
              </w:r>
            </w:hyperlink>
            <w:r>
              <w:rPr>
                <w:rFonts w:ascii="Times New Roman" w:hAnsi="Times New Roman"/>
                <w:sz w:val="20"/>
              </w:rPr>
              <w:t xml:space="preserve">, </w:t>
            </w:r>
            <w:hyperlink r:id="rId14">
              <w:r>
                <w:rPr>
                  <w:rStyle w:val="InternetLink"/>
                  <w:rFonts w:ascii="Times New Roman" w:hAnsi="Times New Roman"/>
                  <w:sz w:val="20"/>
                </w:rPr>
                <w:t>February  18,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6, 2026</w:t>
              </w:r>
            </w:hyperlink>
            <w:r>
              <w:rPr>
                <w:rFonts w:ascii="Times New Roman" w:hAnsi="Times New Roman"/>
                <w:sz w:val="20"/>
              </w:rPr>
              <w:t xml:space="preserve">, </w:t>
            </w:r>
            <w:hyperlink r:id="rId17">
              <w:r>
                <w:rPr>
                  <w:rStyle w:val="InternetLink"/>
                  <w:rFonts w:ascii="Times New Roman" w:hAnsi="Times New Roman"/>
                  <w:sz w:val="20"/>
                </w:rPr>
                <w:t>March 9, 2026</w:t>
              </w:r>
            </w:hyperlink>
            <w:r>
              <w:rPr>
                <w:rFonts w:ascii="Times New Roman" w:hAnsi="Times New Roman"/>
                <w:sz w:val="20"/>
              </w:rPr>
              <w:t xml:space="preserve">, April  7, 2026, </w:t>
            </w:r>
            <w:hyperlink r:id="rId18">
              <w:r>
                <w:rPr>
                  <w:rStyle w:val="InternetLink"/>
                  <w:rFonts w:ascii="Times New Roman" w:hAnsi="Times New Roman"/>
                  <w:sz w:val="20"/>
                </w:rPr>
                <w:t>April  9, 2026</w:t>
              </w:r>
            </w:hyperlink>
            <w:r>
              <w:rPr>
                <w:rFonts w:ascii="Times New Roman" w:hAnsi="Times New Roman"/>
                <w:sz w:val="20"/>
              </w:rPr>
              <w:t xml:space="preserve">, </w:t>
            </w:r>
            <w:hyperlink r:id="rId19">
              <w:r>
                <w:rPr>
                  <w:rStyle w:val="InternetLink"/>
                  <w:rFonts w:ascii="Times New Roman" w:hAnsi="Times New Roman"/>
                  <w:sz w:val="20"/>
                </w:rPr>
                <w:t>April  21, 2026</w:t>
              </w:r>
            </w:hyperlink>
            <w:r>
              <w:rPr>
                <w:rFonts w:ascii="Times New Roman" w:hAnsi="Times New Roman"/>
                <w:sz w:val="20"/>
              </w:rPr>
              <w:t xml:space="preserve">, </w:t>
            </w:r>
            <w:hyperlink r:id="rId20">
              <w:r>
                <w:rPr>
                  <w:rStyle w:val="InternetLink"/>
                  <w:rFonts w:ascii="Times New Roman" w:hAnsi="Times New Roman"/>
                  <w:sz w:val="20"/>
                </w:rPr>
                <w:t>April  27, 2026</w:t>
              </w:r>
            </w:hyperlink>
            <w:r>
              <w:rPr>
                <w:rFonts w:ascii="Times New Roman" w:hAnsi="Times New Roman"/>
                <w:sz w:val="20"/>
              </w:rPr>
              <w:t xml:space="preserve">, </w:t>
            </w:r>
            <w:hyperlink r:id="rId21">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2">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3">
              <w:r>
                <w:rPr>
                  <w:rStyle w:val="InternetLink"/>
                  <w:rFonts w:ascii="Times New Roman" w:hAnsi="Times New Roman"/>
                  <w:sz w:val="20"/>
                </w:rPr>
                <w:t>May  7, 2026</w:t>
              </w:r>
            </w:hyperlink>
            <w:r>
              <w:rPr>
                <w:rFonts w:ascii="Times New Roman" w:hAnsi="Times New Roman"/>
                <w:sz w:val="20"/>
              </w:rPr>
              <w:t xml:space="preserve">, </w:t>
            </w:r>
            <w:hyperlink r:id="rId24">
              <w:r>
                <w:rPr>
                  <w:rStyle w:val="InternetLink"/>
                  <w:rFonts w:ascii="Times New Roman" w:hAnsi="Times New Roman"/>
                  <w:sz w:val="20"/>
                </w:rPr>
                <w:t>May  19, 2026</w:t>
              </w:r>
            </w:hyperlink>
            <w:r>
              <w:rPr>
                <w:rFonts w:ascii="Times New Roman" w:hAnsi="Times New Roman"/>
                <w:sz w:val="20"/>
              </w:rPr>
              <w:t xml:space="preserve">, </w:t>
            </w:r>
            <w:hyperlink r:id="rId25">
              <w:r>
                <w:rPr>
                  <w:rStyle w:val="InternetLink"/>
                  <w:rFonts w:ascii="Times New Roman" w:hAnsi="Times New Roman"/>
                  <w:sz w:val="20"/>
                </w:rPr>
                <w:t>May  22, 2026</w:t>
              </w:r>
            </w:hyperlink>
            <w:r>
              <w:rPr>
                <w:rFonts w:ascii="Times New Roman" w:hAnsi="Times New Roman"/>
                <w:sz w:val="20"/>
              </w:rPr>
              <w:t xml:space="preserve">, </w:t>
            </w:r>
            <w:hyperlink r:id="rId26">
              <w:r>
                <w:rPr>
                  <w:rStyle w:val="InternetLink"/>
                  <w:rFonts w:ascii="Times New Roman" w:hAnsi="Times New Roman"/>
                  <w:sz w:val="20"/>
                </w:rPr>
                <w:t>May  27, 2026</w:t>
              </w:r>
            </w:hyperlink>
            <w:r>
              <w:rPr>
                <w:rFonts w:ascii="Times New Roman" w:hAnsi="Times New Roman"/>
                <w:sz w:val="20"/>
              </w:rPr>
              <w:t xml:space="preserve">, </w:t>
            </w:r>
            <w:hyperlink r:id="rId27">
              <w:r>
                <w:rPr>
                  <w:rStyle w:val="InternetLink"/>
                  <w:rFonts w:ascii="Times New Roman" w:hAnsi="Times New Roman"/>
                  <w:sz w:val="20"/>
                </w:rPr>
                <w:t>June  2, 2026</w:t>
              </w:r>
            </w:hyperlink>
            <w:r>
              <w:rPr>
                <w:rFonts w:ascii="Times New Roman" w:hAnsi="Times New Roman"/>
                <w:sz w:val="20"/>
              </w:rPr>
              <w:t xml:space="preserve">, </w:t>
            </w:r>
            <w:hyperlink r:id="rId28">
              <w:r>
                <w:rPr>
                  <w:rStyle w:val="InternetLink"/>
                  <w:rFonts w:ascii="Times New Roman" w:hAnsi="Times New Roman"/>
                  <w:sz w:val="20"/>
                </w:rPr>
                <w:t>June  8, 2026</w:t>
              </w:r>
            </w:hyperlink>
            <w:r>
              <w:rPr>
                <w:rFonts w:ascii="Times New Roman" w:hAnsi="Times New Roman"/>
                <w:sz w:val="20"/>
              </w:rPr>
              <w:t xml:space="preserve">, </w:t>
            </w:r>
            <w:hyperlink r:id="rId29">
              <w:r>
                <w:rPr>
                  <w:rStyle w:val="InternetLink"/>
                  <w:rFonts w:ascii="Times New Roman" w:hAnsi="Times New Roman"/>
                  <w:sz w:val="20"/>
                </w:rPr>
                <w:t>June  11, 2026</w:t>
              </w:r>
            </w:hyperlink>
            <w:r>
              <w:rPr>
                <w:rFonts w:ascii="Times New Roman" w:hAnsi="Times New Roman"/>
                <w:sz w:val="20"/>
              </w:rPr>
              <w:t xml:space="preserve">, </w:t>
            </w:r>
            <w:hyperlink r:id="rId30">
              <w:r>
                <w:rPr>
                  <w:rStyle w:val="InternetLink"/>
                  <w:rFonts w:ascii="Times New Roman" w:hAnsi="Times New Roman"/>
                  <w:sz w:val="20"/>
                </w:rPr>
                <w:t>June  18, 2026</w:t>
              </w:r>
            </w:hyperlink>
            <w:r>
              <w:rPr>
                <w:rFonts w:ascii="Times New Roman" w:hAnsi="Times New Roman"/>
                <w:sz w:val="20"/>
              </w:rPr>
              <w:t xml:space="preserve">, </w:t>
            </w:r>
            <w:hyperlink r:id="rId31">
              <w:r>
                <w:rPr>
                  <w:rStyle w:val="InternetLink"/>
                  <w:rFonts w:ascii="Times New Roman" w:hAnsi="Times New Roman"/>
                  <w:sz w:val="20"/>
                </w:rPr>
                <w:t>June  22, 2026</w:t>
              </w:r>
            </w:hyperlink>
            <w:r>
              <w:rPr>
                <w:rFonts w:ascii="Times New Roman" w:hAnsi="Times New Roman"/>
                <w:sz w:val="20"/>
              </w:rPr>
              <w:t xml:space="preserve">, </w:t>
            </w:r>
            <w:hyperlink r:id="rId32">
              <w:r>
                <w:rPr>
                  <w:rStyle w:val="InternetLink"/>
                  <w:rFonts w:ascii="Times New Roman" w:hAnsi="Times New Roman"/>
                  <w:sz w:val="20"/>
                </w:rPr>
                <w:t>June 25, 2026</w:t>
              </w:r>
            </w:hyperlink>
            <w:r>
              <w:rPr>
                <w:rFonts w:ascii="Times New Roman" w:hAnsi="Times New Roman"/>
                <w:sz w:val="20"/>
              </w:rPr>
              <w:t xml:space="preserve">, </w:t>
            </w:r>
            <w:hyperlink r:id="rId33">
              <w:r>
                <w:rPr>
                  <w:rStyle w:val="InternetLink"/>
                  <w:rFonts w:ascii="Times New Roman" w:hAnsi="Times New Roman"/>
                  <w:sz w:val="20"/>
                </w:rPr>
                <w:t>July 1, 2026</w:t>
              </w:r>
            </w:hyperlink>
            <w:r>
              <w:rPr>
                <w:rFonts w:ascii="Times New Roman" w:hAnsi="Times New Roman"/>
                <w:sz w:val="20"/>
              </w:rPr>
              <w:t xml:space="preserve"> and </w:t>
            </w:r>
            <w:hyperlink r:id="rId34">
              <w:r>
                <w:rPr>
                  <w:rStyle w:val="InternetLink"/>
                  <w:rFonts w:ascii="Times New Roman" w:hAnsi="Times New Roman"/>
                  <w:sz w:val="20"/>
                </w:rPr>
                <w:t>July  14, 2026</w:t>
              </w:r>
            </w:hyperlink>
            <w:r>
              <w:rPr>
                <w:rFonts w:ascii="Times New Roman" w:hAnsi="Times New Roman"/>
                <w:sz w:val="20"/>
              </w:rPr>
              <w:t xml:space="preserve">, and on Form 8-K/A filed on </w:t>
            </w:r>
            <w:hyperlink r:id="rId35">
              <w:r>
                <w:rPr>
                  <w:rStyle w:val="InternetLink"/>
                  <w:rFonts w:ascii="Times New Roman" w:hAnsi="Times New Roman"/>
                  <w:sz w:val="20"/>
                </w:rPr>
                <w:t>January  12, 2026</w:t>
              </w:r>
            </w:hyperlink>
            <w:r>
              <w:rPr>
                <w:rFonts w:ascii="Times New Roman" w:hAnsi="Times New Roman"/>
                <w:sz w:val="20"/>
              </w:rPr>
              <w:t xml:space="preserve"> and </w:t>
            </w:r>
            <w:hyperlink r:id="rId36">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Resale of up to 41,000,000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The following table sets forth the costs and expenses payable by us in connection with the issuance and distribution of the securities being registered hereunder. All of the amounts shown are estimates, except for the SEC Registration Fees.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80"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12,431.77</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40,000.00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107,431.77</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authorizes a corporation in its certificate of incorporation to eliminate or limit personal liability of directors of the corporation for violations of the directors’ fiduciary duty of care. However, directors remain liable for breaches of duties of loyalty, failing to act in good faith, engaging in intentional misconduct, knowingly violating a law, paying a dividend or approving a stock repurchase which was illegal under DGCL Section 174 or obtaining an improper personal benefit. In addition, equitable remedies for breach of fiduciary duty of care, such as injunction or recession, are available. </w:t>
      </w:r>
    </w:p>
    <w:p>
      <w:pPr>
        <w:pStyle w:val="TextBody"/>
        <w:bidi w:val="0"/>
        <w:spacing w:before="240" w:after="0"/>
        <w:jc w:val="left"/>
        <w:rPr>
          <w:rFonts w:ascii="Times New Roman" w:hAnsi="Times New Roman"/>
          <w:sz w:val="20"/>
        </w:rPr>
      </w:pPr>
      <w:r>
        <w:rPr>
          <w:rFonts w:ascii="Times New Roman" w:hAnsi="Times New Roman"/>
          <w:sz w:val="20"/>
        </w:rPr>
        <w:t xml:space="preserve">Our current certificate of incorporation eliminates the personal liability of the members of our board of directors to the fullest extent permitted by the DGCL. Any repeal or modification of that provision by the stockholders of the corporation will not adversely affect any right or protection of a director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current bylaws provide for indemnification of its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pursuant to which we agreed, to the maximum extent permitted by applicable law and subject to the specified terms and conditions set forth in each agreement, to indemnify a director or officer who acts on our behalf and is made or threatened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maintain insurance on behalf of our officers and directors that provides coverage for expenses and liabilities incurred by them in their capacities as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all of the securities sold by us during the past three years which were not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2023, pursuant to that certain exchange agreement dated December 28, 2023, the Company issued 92 shares of the Company’s common stock to Iliad Research and Trading, L.P. (“Iliad”), in exchange for a $785,362.50 reduction in the outstanding balance of the royalty interest held by Iliad.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Streeterville Capital, LLC (“Streeterville”) pursuant to which the Company issued 30 shares of the Company’s common stock, par value $0.0001, to Streeterville in exchange for a $165,000 reduction in the outstanding balance of the royalty interest dated August 24,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Iliad pursuant to which the Company issued an aggregate of 152 shares of the Company’s common stock to Iliad in exchange for a $836,000 reduction in the outstanding balance of the royalty interest in the original principal amount of $12.0 million sold by the Company to Iliad on October 8, 2020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pursuant to the PIPE Purchase Agreement, each of the PIPE investors entered into an exchange agreement with the Company (each, a “PIPE Warrant Exchange Agreement” and collectively, the “PIPE Warrant Exchange Agreements”). Pursuant to the PIPE Warrant Exchange Agreements, the Company agreed to exchange the PIPE Warrants for shares of common stock at an exchange ratio of 1-for-2.5 (“PIPE Warrant Exchange Transaction”). Upon completion of the PIPE Warrant Exchange Transaction, the Company exchanged the PIPE Warrants to purchase up to 143 shares of Common Stock for 358 shares of Common Stock (the “PIPE Exchange Shares”), and the PIPE Warrants were terminated. The PIPE Exchange Shares would be subject to a twelve-month lock-up, and any other equity security of the Company other than the PIPE Exchange Shares owned by the PIPE investors as of the date of the PIPE Warrant Exchange Agreement would be subject to a six-month lock-up.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the Company entered into a privately negotiated exchange agreement with Streeterville, pursuant to which the Company issued an aggregate of 179.38 shares of Series J Preferred Stock to Streeterville in exchange for the surrender by Streeterville of the royalty interest in the original principal amount of $10 million issued by the Company to Streeterville on March 8, 2021 (the “March 2021 Royalty Interest”). Upon completion of the above-referenced exchange transaction, all outstanding balance of the March 2021 Royalty Interest was fully paid, and the March 2021 Royalty Interest was terminated. </w:t>
      </w:r>
    </w:p>
    <w:p>
      <w:pPr>
        <w:pStyle w:val="TextBody"/>
        <w:bidi w:val="0"/>
        <w:spacing w:before="240" w:after="0"/>
        <w:jc w:val="left"/>
        <w:rPr>
          <w:rFonts w:ascii="Times New Roman" w:hAnsi="Times New Roman"/>
          <w:sz w:val="20"/>
        </w:rPr>
      </w:pPr>
      <w:r>
        <w:rPr>
          <w:rFonts w:ascii="Times New Roman" w:hAnsi="Times New Roman"/>
          <w:sz w:val="20"/>
        </w:rPr>
        <w:t xml:space="preserve">On March 5, 2024, the Company entered into a privately negotiated exchange agreement with Streeterville, pursuant to which the Company issued 190 shares of the Company’s common stock in exchange for the surrender and cancellation of 40 shares of Series J Perpetual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2024, the Company entered into a privately negotiated securities purchase agreement with Gen Ilac Ve Saglik Urunleri Sanayi Ve Ticaret, A.S., (“Gen”) pursuant to which the Company issued 317 shares of the Company’s common stock at $6,300.00 per share for gross proceeds of approximately $2.0 million. The sale of the securities was consummated in connection with the licensing transaction covering the exclusive license and commercialization agreement for the Company’s FDA-approved prescription drug Crofelemer with purchasers in certain Eastern European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19, 2024, the Company entered into a privately negotiated exchange agreement with Streeterville, pursuant to which the Company issued 158 shares of the Company’s common stock in exchange for the surrender and cancellation of 40 shares of Series J Perpetual Preferred Stock based on an effective exchange price of $6.300.00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7, 2024, the Company entered into an exchange agreement with Iliad, pursuant to which the parties agreed to partition $1,500,000 from the outstanding balance of the October 2020 Royalty Interest. This reduced the outstanding balance of the October 2020 Royalty Interest. The partitioned royalty was exchanged for 7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15, 2024, the Company entered into a privately negotiated exchange agreement with Iliad pursuant to which the Company issued an aggregate of 520 shares of common stock to Iliad in exchange for a $1.9 million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entered into a privately negotiated exchange agreement with Iliad pursuant to which the Company issued an aggregate of 229 shares of common stock to Iliad in exchange for $819,600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2025, the Company entered into a privately negotiated exchange agreement with Uptown. Pursuant to such exchange agreement, the Company issued 1,474 shares of common stock to Uptown in exchange for a $1,094,952 reduction in the outstanding balance of the royalty interest held by Uptown.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2025, the Company entered into securities purchase agreements (the “Convertible Note Purchase Agreements”) with selected institutional and accredited investors (each, a “Note Investor”), pursuant to which the Company agreed to issue approximately $3.4 million aggregate principal amount of convertible promissory notes (collectively, the “Notes”) and warrants to purchase up to 17,788 shares of common stock to the Note Investors (the “Convertible Notes Financing”). The Convertible Notes Financing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Notes bore interest at the rate of 6% per annum and would mature on June 30, 2025 (the “Maturity Date”). The Notes were convertible, at each holder’s option, in part or in full, into an aggregate of 17,789 shares (the “Conversion Shares”) of common stock, at a conversion price of $194 per share for investors who were not an officer, director, employee or consultant of the Company (collectively, an “Insider”), and $194 per share for investors who were Insiders, subject to adjustment for customary stock dividend, stock split, stock combination or other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Convertible Note Purchase Agreements, the investors received warrants (collectively, the “Convert Warrants”) to purchase up to an aggregate of 17,789 shares of common stock (the “Convert Warrant Shares”) with a fair value of $3.3 million and an initial exercise price equal to $189 per share for investors who were not Insiders, and $190 per share for investors who were Insiders, in each case subject to adjustment for reclassification of the common stock, non-cash dividend, stock split, reverse stock split or other similar transaction (the “Convert Warrant Exercise Price”). The Convert Warrants would be exercisable immediately upon issuance and would expire on the earlier of (i) March 31, 2030, (ii) the consummation of a fundamental transaction and (iii) the consummation of a liquidation event (the “Convert Warrant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Insiders, including the Company’s Chief Executive Officer, Chief Financial Officer and certain members of the Company’s board of directors and officers, participated in the Private Placement. These Insiders purchased $535,000 aggregate principal amount of the Notes, which were convertible into up to 2,752 Conversion Shares, and received Convert Warrants to purchase up to 2,752 Convert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Convertible Notes Financing, the Company issued to H.C. Wainwright &amp; Co., LLC (“Wainwright”), the placement agent for the Convertible Notes Financing, warrants to purchase up to 1,068 shares of common stock (the “Convert PA Warrants”) with a fair value of $259,000. The Convert PA Warrants have an exercise price of $242 per share.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the Company entered into a privately negotiated exchange agreement with Iliad pursuant to which the Company issued an aggregate of 1,643 shares of common stock to Iliad in exchange for $632,500 reduction in the outstanding balance of October 2020 Purchase Agreement.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13, 2025, the Company entered into a privately negotiated exchange agreement with Iliad, pursuant to which the Company issued an aggregate of 1,714 shares of common stock to Iliad in exchange for a $466,200 reduction in the outstanding balance of the October 2020 Purchase Agreement. The shares of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14, 2025, the Company entered into privately negotiated exchange agreements with Iliad and Streeterville, under which the Company issued 22 and 99.3822 shares of Series L Preferred Stock to Iliad and Streeterville, respectively, in exchange for a $550,000 reduction in the outstanding balance of the October 2020 Purchase Agreement, and for all of the outstanding 99.3822 shares of Series J Preferred Stock held by Streeterville, respectively. The shares of Series L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the Company entered into a securities purchase agreement with selected institutional investors for a registered direct offering (the “Registered Offering”) of 7,037 shares of common stock at $6.09 per share, priced at-the-market under Nasdaq rules. In a concurrent private placement, the Company issued to such investors unregistered warrants to purchase up to 14,075 shares of common stock (“Common Warrants”) at an exercise price of $204 per share. The Common Warrants are immediately exercisable and expire upon the earlier of (i) 24 months from issuance, (ii) a fundamental transaction, or (iii) a liquidation event. The Company also issued to Wainwright warrants to purchase 422 shares of common stock (the “Wainwright Warrants”), representing 6.0% of the shares sold in the Registered Offering. The Wainwright Warrants have substantially similar terms to the Common Warrants issued to investors in the same transaction, but with an exercise price of $266 per share, which represents 125% of the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On June 24, 2025, the Company completed a private exchange transaction with selected accredited investors (the “Participating Investors”), issuing approximately $2.57 million aggregate principal amount of new 6% convertible promissory notes (the “Replacement Notes”) in exchange for the cancellation of the March 2025 Convertible Notes held by such Participating Investors (the “Note Exchange Transaction”). The Replacement Notes would mature on January 30, 2026, bore interest at 6% per annum, and were immediately convertible at the option of the holders into up to 13,747 shares of the Company’s common stock at a conversion price of $194 per share for non-Insiders and $5.555 per share for Insiders, subject to adjustment for customary stock dividend, stock split, stock combination or other similar transactions; provided, however, that (a) no conversion shares may be issued to a noteholder who was an Insider unless the stockholder approval was obtained by the Company in accordance with Nasdaq Listing Rules 5635(c) and 5635(d), and (b) the total cumulative number of conversion shares that may be issued to a noteholder who was not an Insider, together with any shares of Common Stock issued to (i) such noteholder upon exercise of the New Warrants issued to such noteholder and (ii) the other Participating Investors in the same series of transactions as the Replacement Notes, may not exceed the requirements of The Nasdaq Capital Market (including the rules related to the aggregation of offerings under Nasdaq Listing Rule 5635(d), if applicable) (the “Issuance Cap”), unless the stockholder approval was obtained by the Company to issue more than the Issuance Cap. The Company also issued warrants to purchase common stock (the “New Warrants”) and agreed to file a registration statement for the resale of the related conversion shares and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Note Exchange Transaction, the Company issued to the Participating Investors New Warrants to purchase up to an aggregate of 26,531 shares of common stock (the “New Warrant Shares”) with an initial exercise price equal to $95, subject to adjustment for reclassification of the common stock, non-cash dividend, stock split, reverse stock split or other similar transaction. The New Warrants would be exercisable immediately upon the Initial Exercise Date (as define therein) and would expire on the earlier of (i) 18 months from the date of issuance, (ii) the consummation of a fundamental transaction and (iii) the consummation of a liquidation event; provided, however, that no New Warrant Shares may be issued to a holder unless the stockholder approval was obtained by the Company in accordance with Nasdaq Listing Rules 5635(c) and/or 5635(d), as applicable. All of the securities issued in the Note Exchange Transaction were offered and sold in reliance upon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June 27, 2025, the Company entered into a privately negotiated exchange agreements (the “Iliad Series M Exchange Agreement” and the “Streeterville Series M Exchange Agreement”) with Iliad and Streeterville, pursuant to which Company issued 170 shares and 90 shares of Series M Preferred Stock to Iliad and Streeterville, respectively, in exchange for a $4,250,000 reduction in the outstanding balance of the October 2020 Purchase Agreement and a $2,250,000 reduction in the outstanding balance of the August 2022 Royalty Interest, respectively. The shares of Series M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or around September 9, 2025, the Company entered into securities purchase agreements (each a “PIPE Purchase Agreement” and collectively, the “PIPE Purchase Agreements”) with certain investors named therein (collectively, the “Purchasers”), pursuant to which the Company issued and sold to the Purchasers in a private placement an aggregate of approximately 951 shares of Series N Preferred Stock, for an aggregate purchase price of approximately $2.38 million. The shares of Series N Preferred Stock were issued in reliance upon exemptions from registration pursuant to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2025, the Company entered into a securities purchase agreement with Brown Stone Capital Limited (“Brown Stone”), pursuant to which the Company issued and sold to Brown Stone (i) 4,617 shares of common stock and (ii) 413,698 pre-funded warrants (the “Pre-Funded Warrants”) to purchase shares of the Company’s common stock. The securities were offered and sold in reliance upon exemptions from registration pursuant to Section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the Company entered into a privately negotiated exchange agreement with Streeterville. Pursuant to this agreement, the Company issued 8,187 shares of common stock to Streeterville in exchange for a $600,000 reduction in the outstanding balance of the royalty interest held by Streeterville.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the Company entered into a privately negotiated exchange agreement with Streeterville, pursuant to which the Company issued an aggregate of 10,322 shares of common stock to Streeterville in exchange for 25 outstanding shares of Series M Preferred Stock held by Streeterville. Upon completion of such exchange transaction, the exchanged Series M Preferred Stock were cancelled and retired. The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On December 9, 2025, the Company entered into a privately negotiated exchange agreement with Iliad (the “First Exchange Agreement”), pursuant to which the Company issued (i) 11,429 shares (the “First Exchange Shares”) of common stock and (ii) a pre-funded common stock purchase warrant to purchase 37,273 shares of common stock (the “First Pre-Funded Warrant”) to Iliad in exchange for 75 shares of Series M Preferred Stock held by Iliad (the “First Exchange Transaction”). Upon completion of the First Exchange Transaction, such 75 shares of Series M Preferred Stock were cancelled and retired.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11, 2025, the Company entered into another privately negotiated exchange agreement with Iliad (the “Second Exchange Agreement” and together with the First Exchange Agreement, collectively the “Exchange Agreements”), pursuant to which the Company issued (i) 1,143 shares of common stock (the “Second Exchange Shares” and together with the First Exchange Shares, collectively the “Exchange Shares”) and (ii) a pre-funded common stock purchase warrant to purchase 8,709 shares of common stock (the “Second Pre-Funded Warrant” and together with the First Pre-Funded Warrant, collectively the “Pre-Funded Warrants”) to Iliad in exchange for 16 shares of Series M Preferred Stock held by Iliad (the “Second Exchange Transaction”). Upon completion of the Second Exchange Transaction, such 16 shares of Series M Preferred Stock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Each of the Pre-Funded Warrants is exercisable in part or in full immediately at an exercise price of $0.001 per share, and may be exercised at any time until such Pre-Funded Warrant is exercised in full. The Pre-Funded Warrants provide that the number of shares that may be exercised shall be limited to ensure that, following such exercise, the number of shares of Common Stock beneficially owned by the holder, together with its affiliates and certain related parties, does not exceed 9.99% of the total number of shares of common stock then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Agreements and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January 6, 2026, the Company entered into securities purchase agreements with two accredited investors for the issuance of unsecured promissory notes in the aggregate principal amount of $350,000. The transaction closed on the same day. The notes bore interest at a rate of 6% per annum and would mature one month from the date of issuance. The Company had the right to prepay any outstanding amount under the notes without penalty or premium. During the three months ended March 31, 2026, the Company subsequently paid the unsecured promissory notes in full.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for the investors to enter into the agreements, the Company issued warrants to purchase an aggregate of 10,000 shares of the Company’s common stock at an initial exercise price of $35.00 per share. The warrants are exercisable immediately and expire upon the earlier of five years from issuance, the consummation of a fundamental transaction, or a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Royalty and Preferred Stock Exchange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16, 2026, the Company entered into a series of privately negotiated exchange agreements with Iliad and Streeterville to reduce outstanding debt and retire certain classes of preferred stock. Pursuant to the exchange agreements, the Company issued six separate pre-funded common stock purchase warrants exercisable for an aggregate of 336,465 shares of common stock at an exercise price of $0.035 per share.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First and Second Pre-Funded Warrants to purchase 44,396 and 31,767 shares, respectively, in exchange for a combined reduction of $2.0 million in the outstanding balances of the October 2020 and August 2022 Royalty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Third and Fourth Pre-Funded Warrants to purchase 20,555 and 92,855 shares, respectively, in exchange for the cancellation and retirement of all 121.3822 outstanding shares of Series L Perpetual Preferred Stock held by Iliad and Streeterville.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Fifth and Sixth Pre-Funded Warrants to purchase 82,014 and 64,879 shares, respectively, in exchange for the cancellation and retirement of 157.22 shares of Series M Perpetual Preferred Stock held by Iliad and Streeterville.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14, 2026, the Company entered into a privately negotiated exchange agreement with Uptown, pursuant to which the Company issued 28,660 shares of common stock to Uptown in exchange for a $91,000 reduction in the outstanding balance of the Company’s December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from registration under the Securities Act in reliance on Section 3(a)(9) or Section 4(a)(2) of the Securities Act, Regulation D or Regulation 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the Company entered into a series of privately negotiated exchange agreements with Uptown and Streeterville to reduce outstanding obligations on existing royalty interests in exchange for the newly designated Series Q Perpetual Preferred Stock (the “Series Q Preferred Stock”).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500 shares of Series Q Preferred Stock to Uptown, in exchange for a $12.5 million reduction in the outstanding balance of a royalty interest in the original principle of $12.0 million sold by the Company to Uptown in December 2020 (as amended, the “December 2020 Royalty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408 shares of Series Q Preferred Stock to Streeterville, in exchange for a $10.2 million reduction in the outstanding balance of a royalty interest in the original principle of $12.0 million sold by the Company to Streeterville in August 2022 (as amended, the “August 2022 Royalty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May 21, 2026, the Company entered into two privately negotiated exchange agreements with Streeterville, pursuant to which the Company issued an aggregate of 54,222 shares of common stock to Streeterville in exchange for an aggregate of 7.96 outstanding shares of Series Q Preferred Stock held by Streeterville (the “Exchanged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Company entered into a privately negotiated exchange agreement with Streeterville, pursuant to which the Company issued 31,958 shares common stock to Streeterville in exchange for an aggregate of 3.72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entered into another privately negotiated exchange agreement with Streeterville, pursuant to which the Company issued 32,710 shares of common stock to Streeterville in exchange for an aggregate of 4.2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another privately negotiated exchange agreement with Streeterville, pursuant to which the Company issued 34,798 shares of common stock with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securities purchase agreements (each a “Preferred Stock Purchase Agreement” and collectively, the “Preferred Stock Purchase Agreements”) with certain investors named therein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 exchange agreement with Streeterville, pursuant to which the Company issued 34,798 shares (the “First Exchange Shares”) of common stock to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another exchange agreement with Streeterville, pursuant to which the Company issued 36,796 shares (the “Second Exchange Shares”) of common stock to Streeterville in exchange for an aggregate of 3.4 outstanding shares of Series Q Preferred Stock held by Streeterville, which when combined with the First Exchange Shares resulted in the aggregate issuance by the Company of more than 5% of the Company’s issued and outstanding shares of common stock, as last reported in the Company’s Quarterly Report on Form 10-Q filed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entered into another exchange agreement with Streeterville, pursuant to which the Company issued 38,655 shares of common stock to Streeterville in exchange for an aggregate of 3.68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Each of the foregoing issuances of securities were not registered under the Securities Act or the securities laws of any state, and unless otherwise specified, in each case the securities were offered and issued in reliance on the exemption from registration under the Securities Act afforded by Section 4(a)(2) thereof or Rule 506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See the Exhibit Index on the page immediately preceding the signature page hereto for a list of exhibits filed as part of this registration statement on Form S-1, which Exhibit Index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No financial statement schedules are provided because the information called for is not required or is shown either in the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8">
              <w:r>
                <w:rPr>
                  <w:rStyle w:val="InternetLink"/>
                </w:rPr>
                <w:t>Agreement and Plan of Merger, dated as of March  31, 2017, by and among Jaguar Health, Inc. (f/k/a Jaguar Animal Health, Inc.), Napo Acquisition Corporation, Napo Pharmaceuticals, Inc. and Gregory Stock (incorporated by reference to Exhibit 2.1 to the Current Report on Form 8-K of Jaguar Health, Inc. filed March 31, 2017,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9">
              <w:r>
                <w:rPr>
                  <w:rStyle w:val="InternetLink"/>
                </w:rPr>
                <w:t>Third Amended and Restated Certificate of Incorporation (incorporated by reference to Exhibit 3.1 to the Current Report on Form 8-K (No. 001—36714) filed with the Securities and Exchange Commission on August 1, 2017).</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0">
              <w:r>
                <w:rPr>
                  <w:rStyle w:val="InternetLink"/>
                </w:rPr>
                <w:t>Certificate of Amendment of the Third Amended and Restated Certificate of Incorporation (incorporated by reference to Exhibit 3.2 to the Annual Report on Form 10-K filed with the Securities and Exchange Commission on April 9,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1">
              <w:r>
                <w:rPr>
                  <w:rStyle w:val="InternetLink"/>
                </w:rPr>
                <w:t>Certificate of Second Amendment of the Third Amended and Restated Certificate of Incorporation (incorporated by reference to Exhibit 3.1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2">
              <w:r>
                <w:rPr>
                  <w:rStyle w:val="InternetLink"/>
                </w:rPr>
                <w:t>Certificate of Third Amendment of the Third Amended and Restated Certificate of Incorporation (incorporated by reference to Exhibit 3.2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3">
              <w:r>
                <w:rPr>
                  <w:rStyle w:val="InternetLink"/>
                </w:rPr>
                <w:t>Certificate of Fifth Amendment of the Third Amended and Restated Certificate of Incorporation (incorporated by reference to Exhibit 3.1 to the Current Report on Form 8-K filed with the Securities and Exchange Commission on June 6, 2019).</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4">
              <w:r>
                <w:rPr>
                  <w:rStyle w:val="InternetLink"/>
                </w:rPr>
                <w:t>Amended and Restated Bylaws (incorporated by reference to Exhibit 3.2 to the Current Report on Form 8-K (No. 001—36714) filed with the Securities and Exchange Commission on May 18, 2015).</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5">
              <w:r>
                <w:rPr>
                  <w:rStyle w:val="InternetLink"/>
                </w:rPr>
                <w:t>Certificate of Designation of Series C Perpetual Preferred Stock (incorporated by reference to Exhibit 3.1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6">
              <w:r>
                <w:rPr>
                  <w:rStyle w:val="InternetLink"/>
                </w:rPr>
                <w:t>Certificate of Designation of Series D Perpetual Preferred Stock (incorporated by reference to Exhibit 3.2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7">
              <w:r>
                <w:rPr>
                  <w:rStyle w:val="InternetLink"/>
                </w:rPr>
                <w:t>Certificate of Retirement of Series A Convertible Participating Preferred Stock, Series B Convertible Preferred Stock and Series B-1 Convertible Preferred Stock of Jaguar Health, Inc. (incorporated by reference to Exhibit 3.1 to the Current Report on Form 8-K (No. 001-036714) filed with the Securities and Exchange Commission on September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8">
              <w:r>
                <w:rPr>
                  <w:rStyle w:val="InternetLink"/>
                </w:rPr>
                <w:t>Corrected Certificate of Amendment of the Third Amended and Restated Certificate of Incorporation (incorporated by reference to Exhibit 3.1 to the Form 8-K of Jaguar Health, Inc. filed December 10,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9">
              <w:r>
                <w:rPr>
                  <w:rStyle w:val="InternetLink"/>
                </w:rPr>
                <w:t>Certificate of Fifth Amendment of the Third Amended and Restated Certificate of Incorporation of Jaguar Health, Inc. (incorporated by reference to Exhibit 3.1 to the Form 8-K of Jaguar Health, Inc. filed September 3,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50">
              <w:r>
                <w:rPr>
                  <w:rStyle w:val="InternetLink"/>
                </w:rPr>
                <w:t>First Amendment to the Amended and Restated Bylaws, dated March 17, 2022. (incorporated by reference to Exhibit 3.1 to the Form 8-K of Jaguar Health, Inc. filed March 18,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51">
              <w:r>
                <w:rPr>
                  <w:rStyle w:val="InternetLink"/>
                </w:rPr>
                <w:t>Certificate of Designation of Series E Preferred Stock. (incorporated by reference to Exhibit 3.1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7"/>
        <w:gridCol w:w="776"/>
        <w:gridCol w:w="8582"/>
      </w:tblGrid>
      <w:tr>
        <w:trPr/>
        <w:tc>
          <w:tcPr>
            <w:tcW w:w="847"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8582"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76" w:type="dxa"/>
            <w:tcBorders/>
            <w:vAlign w:val="bottom"/>
          </w:tcPr>
          <w:p>
            <w:pPr>
              <w:pStyle w:val="TableContents"/>
              <w:bidi w:val="0"/>
              <w:spacing w:before="0" w:after="283"/>
              <w:jc w:val="left"/>
              <w:rPr/>
            </w:pPr>
            <w:r>
              <w:rPr/>
              <w:t>  </w:t>
            </w:r>
          </w:p>
        </w:tc>
        <w:tc>
          <w:tcPr>
            <w:tcW w:w="85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2">
              <w:r>
                <w:rPr>
                  <w:rStyle w:val="InternetLink"/>
                </w:rPr>
                <w:t>Certificate of Sixth Amendment of the Third Amended and Restated Certificate of Incorporation of Jaguar Health, Inc. (incorporated by reference to Exhibit 3.1 to the Form 8-K of Jaguar Health, Inc. filed September 30,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3">
              <w:r>
                <w:rPr>
                  <w:rStyle w:val="InternetLink"/>
                </w:rPr>
                <w:t>Certificate of Designation of Series F Preferred Stock. (incorporated by reference to Exhibit 3.1 to the Form 8-K of Jaguar Health, Inc. filed November 16,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4">
              <w:r>
                <w:rPr>
                  <w:rStyle w:val="InternetLink"/>
                </w:rPr>
                <w:t>Certificate of Seventh Amendment of the Third Amended and Restated Certificate of Incorporation of Jaguar Health, Inc. (incorporated by reference to Exhibit 3.1 to the Form 8-K of Jaguar Health, Inc. filed January 23,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5">
              <w:r>
                <w:rPr>
                  <w:rStyle w:val="InternetLink"/>
                </w:rPr>
                <w:t>Certificate of Designation of Series G Convertible Preferred Stock. (incorporated by reference to Exhibit 3.1 to the Form 8-K of Jaguar Health, Inc. filed May 9,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6">
              <w:r>
                <w:rPr>
                  <w:rStyle w:val="InternetLink"/>
                </w:rPr>
                <w:t>Certificate of Designation of Series H Convertible Preferred Stock. (incorporated by reference to Exhibit 3.1 to the Form 8-K of Jaguar Health, Inc. filed July 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7">
              <w:r>
                <w:rPr>
                  <w:rStyle w:val="InternetLink"/>
                </w:rPr>
                <w:t>Certificate of Designation of Series I Convertible Preferred Stock. (incorporated by reference to Exhibit 3.1 to the Form 8-K of Jaguar Health, Inc. filed October 5,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3.20</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8">
              <w:r>
                <w:rPr>
                  <w:rStyle w:val="InternetLink"/>
                </w:rPr>
                <w:t>Certificate of Designation of Series J Convertible Preferred Stock. (incorporated by reference to Exhibit 3.1 to the Form 8-K of Jaguar Health, Inc. filed March 1,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3.21</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9">
              <w:r>
                <w:rPr>
                  <w:rStyle w:val="InternetLink"/>
                </w:rPr>
                <w:t>Certificate of Eighth Amendment of the Third Amended and Restated Certificate of Incorporation of Jaguar Health, Inc. (incorporated by reference to Exhibit 3.1 to the Form 8-K of Jaguar Health, Inc. filed May 23,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3.22</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0">
              <w:r>
                <w:rPr>
                  <w:rStyle w:val="InternetLink"/>
                </w:rPr>
                <w:t>Certificate of Designation of Series K Junior Participating Preferred Stock. (incorporated by reference to Exhibit 3.1 to the Form 8-K of Jaguar Health, Inc. filed February 27,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3.23</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1">
              <w:r>
                <w:rPr>
                  <w:rStyle w:val="InternetLink"/>
                </w:rPr>
                <w:t>Certificate of Ninth Amendment of the Third Amended and Restated Certificate of Incorporation of Jaguar Health, Inc. (incorporated by reference to Exhibit 3.1 to the Form 8-K of Jaguar Health, Inc. filed March 18,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2">
              <w:r>
                <w:rPr>
                  <w:rStyle w:val="InternetLink"/>
                </w:rPr>
                <w:t>Certificate of Designation of Preferences, Rights and Limitations of Series L Perpetual Preferred Stock of Jaguar Health, Inc. (incorporated by reference to Exhibit 3.1 to the Form 8-K filed May 15,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3">
              <w:r>
                <w:rPr>
                  <w:rStyle w:val="InternetLink"/>
                </w:rPr>
                <w:t>Certificate of Designation of Preferences, Rights and Limitations of Series M Perpetual Preferred Stock of Jaguar Health, Inc. (incorporated by reference to Exhibit 3.1 to the Form 8-K filed June 30,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4">
              <w:r>
                <w:rPr>
                  <w:rStyle w:val="InternetLink"/>
                </w:rPr>
                <w:t>Certificate of Designation of Preferences, Rights and Limitations of Series N Perpetual Preferred Stock of Jaguar Health, Inc. (incorporated by reference to Exhibit 3.1 to the Form 8-K filed September 11,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5">
              <w:r>
                <w:rPr>
                  <w:rStyle w:val="InternetLink"/>
                </w:rPr>
                <w:t>Certificate of Designation of Preferences, Rights and Limitations of Series O Convertible Preferred Stock of Jaguar Health, Inc. (incorporated by reference to Exhibit 3.1 to the Form 8-K filed March 3, 2026,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6">
              <w:r>
                <w:rPr>
                  <w:rStyle w:val="InternetLink"/>
                </w:rPr>
                <w:t xml:space="preserve">Certificate of Tenth Amendment of the Third Amended and Restated Certificate of Incorporation of Jaguar Health, Inc. (incorporated by reference to Exhibit 3.1 to the Form 8-K filed April 21, 2026,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7">
              <w:r>
                <w:rPr>
                  <w:rStyle w:val="InternetLink"/>
                </w:rPr>
                <w:t xml:space="preserve">Certificate of Eleventh Amendment of the Third Amended and Restated Certificate of Incorporation of Jaguar Health, Inc. (incorporated by reference to Exhibit 3.1 to the Form 8-K filed April 27, 2026,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1"/>
        <w:gridCol w:w="763"/>
        <w:gridCol w:w="8591"/>
      </w:tblGrid>
      <w:tr>
        <w:trPr/>
        <w:tc>
          <w:tcPr>
            <w:tcW w:w="851" w:type="dxa"/>
            <w:tcBorders/>
            <w:vAlign w:val="center"/>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8591"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3" w:type="dxa"/>
            <w:tcBorders/>
            <w:vAlign w:val="bottom"/>
          </w:tcPr>
          <w:p>
            <w:pPr>
              <w:pStyle w:val="TableContents"/>
              <w:bidi w:val="0"/>
              <w:spacing w:before="0" w:after="283"/>
              <w:jc w:val="left"/>
              <w:rPr/>
            </w:pPr>
            <w:r>
              <w:rPr/>
              <w:t>  </w:t>
            </w:r>
          </w:p>
        </w:tc>
        <w:tc>
          <w:tcPr>
            <w:tcW w:w="85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8">
              <w:r>
                <w:rPr>
                  <w:rStyle w:val="InternetLink"/>
                </w:rPr>
                <w:t xml:space="preserve">Certificate of Designation of Preferences, Rights and Limitations of Series Q Perpetual Preferred Stock (incorporated by reference to Exhibit 3.1 to the Form 8-K filed May 19,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9">
              <w:r>
                <w:rPr>
                  <w:rStyle w:val="InternetLink"/>
                </w:rPr>
                <w:t xml:space="preserve">Certificate of Designation of Preferences, Rights and Limitations of Series P Non-Convertible Preferred Stock (incorporated by reference to Exhibit 3.1 to the Form 8-K filed June 11,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0">
              <w:r>
                <w:rPr>
                  <w:rStyle w:val="InternetLink"/>
                </w:rPr>
                <w:t>Specimen Non—Voting Common Stock Certificate of Jaguar Health, Inc. (incorporated by reference to Exhibit 4.1 to the Form 8—K of Jaguar Health, Inc. filed August 1, 2017,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1">
              <w:r>
                <w:rPr>
                  <w:rStyle w:val="InternetLink"/>
                </w:rPr>
                <w:t>Common Stock Warrant, dated August  28, 2018, by and between Jaguar Health, Inc. and the holder named therein (incorporated by reference to Ex. 4.1 to the Current Report on Form 8—K filed on September 4,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2">
              <w:r>
                <w:rPr>
                  <w:rStyle w:val="InternetLink"/>
                </w:rPr>
                <w:t>Common Stock Warrant, dated September  11, 2018, by and between Jaguar Health, Inc. and L2 Capital, LLC (incorporated by reference to Ex. 4.3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3">
              <w:r>
                <w:rPr>
                  <w:rStyle w:val="InternetLink"/>
                </w:rPr>
                <w:t>Common Stock Warrant, dated September  11, 2018, by and between Jaguar Health, Inc. and Charles Conte (incorporated by reference to Ex. 4.4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4">
              <w:r>
                <w:rPr>
                  <w:rStyle w:val="InternetLink"/>
                </w:rPr>
                <w:t>Form of Pre-Funded Warrant (incorporated by reference to Exhibit 4.6 to the Registration Statement on Form S—1 (No. 333—227292) filed with the Securities and Exchange Commission on October 1,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4.6</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5">
              <w:r>
                <w:rPr>
                  <w:rStyle w:val="InternetLink"/>
                </w:rPr>
                <w:t>Form of Common Stock Warrant (incorporated by reference to Exhibit 4.3 to the Form 8-K of Jaguar Health, Inc. filed March 22,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4.7</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6">
              <w:r>
                <w:rPr>
                  <w:rStyle w:val="InternetLink"/>
                </w:rPr>
                <w:t>Form of Placement Agent Warrant (incorporated by reference to Exhibit 4.1 to the Form 8-K/A of Jaguar Health, Inc. filed March 26,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4.8</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7">
              <w:r>
                <w:rPr>
                  <w:rStyle w:val="InternetLink"/>
                </w:rPr>
                <w:t>Form of LOC Common Stock Warrant (incorporated by reference to Exhibit 4.1 to the Form 8-K of Jaguar Health, Inc. filed April 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4.9</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8">
              <w:r>
                <w:rPr>
                  <w:rStyle w:val="InternetLink"/>
                </w:rPr>
                <w:t>Specimen Common Stock Certificate of Jaguar Health, Inc. (incorporated by reference to Exhibit 4.1 to the Form 8—K of Jaguar Health, Inc. filed June 1, 2018,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9">
              <w:r>
                <w:rPr>
                  <w:rStyle w:val="InternetLink"/>
                </w:rPr>
                <w:t>Form of Series 1 Warrant (incorporated by reference to Exhibit 4.1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0">
              <w:r>
                <w:rPr>
                  <w:rStyle w:val="InternetLink"/>
                </w:rPr>
                <w:t>Form of Series 2 Warrant (incorporated by reference to Exhibit 4.2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1">
              <w:r>
                <w:rPr>
                  <w:rStyle w:val="InternetLink"/>
                </w:rPr>
                <w:t>Promissory Note, dated October  1, 2019, between Napo Pharmaceuticals, Inc. and Michael Tempesta (incorporated by reference to Exhibit 4.1 to the Form 8-K of Jaguar Health, Inc. filed October  7,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2">
              <w:r>
                <w:rPr>
                  <w:rStyle w:val="InternetLink"/>
                </w:rPr>
                <w:t>Form of Pre-Funded Common Stock Purchase Warrant (incorporated by reference to Exhibit 4.1 to the Form 8-K of Jaguar Health, Inc. filed November 14,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3">
              <w:r>
                <w:rPr>
                  <w:rStyle w:val="InternetLink"/>
                </w:rPr>
                <w:t>Form of Common Stock Purchase Warrant (incorporated by reference to Exhibit 4.1 to the Form 8-K of Jaguar Health, Inc. filed December 26,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4">
              <w:r>
                <w:rPr>
                  <w:rStyle w:val="InternetLink"/>
                </w:rPr>
                <w:t>Royalty Interest, dated March  4, 2020, by and between the Company and Iliad Research and Trading L.P. (incorporated by reference to Exhibit 4.1 to the Form 8-K of Jaguar Health, Inc. filed March 6,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5">
              <w:r>
                <w:rPr>
                  <w:rStyle w:val="InternetLink"/>
                </w:rPr>
                <w:t>Description of the Registrant’s Securities Registered Pursuant to Section  12 of the Securities Exchange Act of 1945, as amended (incorporated herein by reference to Exhibit 4.26 to the Annual Report on Form 10—K filed on April 3,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6">
              <w:r>
                <w:rPr>
                  <w:rStyle w:val="InternetLink"/>
                </w:rPr>
                <w:t>Form of Series 3 Common Stock Purchase Warrant (incorporated by reference to Exhibit 4.1 to the Form 8-K of Jaguar health, Inc. filed May 22,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7">
              <w:r>
                <w:rPr>
                  <w:rStyle w:val="InternetLink"/>
                </w:rPr>
                <w:t>Global Amendment, dated September  1, 2020, by and among Jaguar Health, Inc., Napo Pharmaceuticals, Inc. and Chicago Ventures,</w:t>
              </w:r>
            </w:hyperlink>
            <w:r>
              <w:rPr/>
              <w:t xml:space="preserve"> </w:t>
            </w:r>
            <w:hyperlink r:id="rId88">
              <w:r>
                <w:rPr>
                  <w:rStyle w:val="InternetLink"/>
                </w:rPr>
                <w:t>L.P. (incorporated by reference to Exhibit 4.1 to the Form 8-K of Jaguar health, Inc. filed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9">
              <w:r>
                <w:rPr>
                  <w:rStyle w:val="InternetLink"/>
                </w:rPr>
                <w:t>Royalty Interest, dated October  8, 2020, by and between Jaguar Health, Inc. and Iliad Research and Trading, L.P.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0">
              <w:r>
                <w:rPr>
                  <w:rStyle w:val="InternetLink"/>
                </w:rPr>
                <w:t>Form of Pre-Funded Common Stock Purchase Warrant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1">
              <w:r>
                <w:rPr>
                  <w:rStyle w:val="InternetLink"/>
                </w:rPr>
                <w:t>Royalty Interest, dated December  22, 2020, by and between Jaguar Health, Inc. and Irving Park Capital, LLC (incorporated by reference to Exhibit 4.1 to the Form 8-K filed December 29,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2">
              <w:r>
                <w:rPr>
                  <w:rStyle w:val="InternetLink"/>
                </w:rPr>
                <w:t>Secured Promissory Note, dated January  19, 2021, by and among Jaguar Health, Inc., Napo Pharmaceuticals, Inc. and Streeterville Capital, LLC (incorporated by reference to Exhibit 4.1 to the Form 8-K filed January 22,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3">
              <w:r>
                <w:rPr>
                  <w:rStyle w:val="InternetLink"/>
                </w:rPr>
                <w:t>Common Stock Purchase Warrant, dated April  7, 2021, by and between Jaguar Health, Inc. and Oasis Capital, LLC (incorporated by reference to Exhibit 4.1 to the Form 8-K of Jaguar Health, Inc. filed April  8,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4">
              <w:r>
                <w:rPr>
                  <w:rStyle w:val="InternetLink"/>
                </w:rPr>
                <w:t>Global Amendment, dated April  14, 2022, by and between Jaguar Health, Inc. and Iliad Research and Trading, L.P. (incorporated by reference to Exhibit 4.1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5">
              <w:r>
                <w:rPr>
                  <w:rStyle w:val="InternetLink"/>
                </w:rPr>
                <w:t>Global Amendment, dated April  14, 2022, by and between Jaguar Health, Inc. and Uptown Capital, LLC (incorporated by reference to Exhibit 4.2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6">
              <w:r>
                <w:rPr>
                  <w:rStyle w:val="InternetLink"/>
                </w:rPr>
                <w:t>Global Amendment, dated April  14, 2022, by and between Jaguar Health, Inc. and Streeterville Capital, LLC (incorporated by reference to Exhibit 4.3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7">
              <w:r>
                <w:rPr>
                  <w:rStyle w:val="InternetLink"/>
                </w:rPr>
                <w:t>Global Amendment, dated April  14, 2022, by and among Jaguar Health, Inc., Napo Pharmaceuticals, Inc. and Streeterville Capital, LLC (incorporated by reference to Exhibit 4.4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8">
              <w:r>
                <w:rPr>
                  <w:rStyle w:val="InternetLink"/>
                </w:rPr>
                <w:t>Royalty Interest, dated August  24, 2022, by and between Jaguar Health, Inc. and Streeterville Capital, LLC. (incorporated by reference to Exhibit 4.1 to the Form 8-K of Jaguar Health, Inc. filed August 30,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9">
              <w:r>
                <w:rPr>
                  <w:rStyle w:val="InternetLink"/>
                </w:rPr>
                <w:t>Form of Common Stock Purchase Warrant (incorporated by reference to Exhibit 4.1 to the Form 8-K of Jaguar Health, Inc. filed May 9,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0">
              <w:r>
                <w:rPr>
                  <w:rStyle w:val="InternetLink"/>
                </w:rPr>
                <w:t>Global Amendment No. 2, dated September  29, 2023, by and between Jaguar Health, Inc. and Iliad Research and Trading, L.P. (incorporated by reference to Exhibit 4.1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1">
              <w:r>
                <w:rPr>
                  <w:rStyle w:val="InternetLink"/>
                </w:rPr>
                <w:t>Global Amendment No. 2, dated September  29, 2023, by and between Jaguar Health, Inc. and Uptown Capital, LLC (incorporated by reference to Exhibit 4.2 to the Form 8-K of Jaguar Health, Inc.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2">
              <w:r>
                <w:rPr>
                  <w:rStyle w:val="InternetLink"/>
                </w:rPr>
                <w:t>Global Amendment, dated September  29, 2023, by and between Jaguar Health, Inc. and Streeterville Capital, LLC (incorporated by reference to Exhibit 4.3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3">
              <w:r>
                <w:rPr>
                  <w:rStyle w:val="InternetLink"/>
                </w:rPr>
                <w:t>Global Amendment No. 2, dated September  29, 2023, by and between Jaguar Health, Inc. and Streeterville Capital, LLC (incorporated by reference to Exhibit 4.4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4">
              <w:r>
                <w:rPr>
                  <w:rStyle w:val="InternetLink"/>
                </w:rPr>
                <w:t>Form of Common Stock Purchase Warrant (incorporated by reference to Exhibit 4.5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5">
              <w:r>
                <w:rPr>
                  <w:rStyle w:val="InternetLink"/>
                </w:rPr>
                <w:t>Amendment to the Secured Promissory Note, dated January  29, 2025, by and among Jaguar Health, Inc., Napo Pharmaceuticals, Inc. and Streeterville Capital, LLC (incorporated by reference to Exhibit 4.1 to the Form 8-K filed February 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6">
              <w:r>
                <w:rPr>
                  <w:rStyle w:val="InternetLink"/>
                </w:rPr>
                <w:t>Note Amendment, dated February  13, 2025, by and among Jaguar Health, Inc., Napo Pharmaceuticals, Inc. and Streeterville Capital, LLC (incorporated by reference to Exhibit 4.1 to the Form 8-K filed February 20,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7">
              <w:r>
                <w:rPr>
                  <w:rStyle w:val="InternetLink"/>
                </w:rPr>
                <w:t>Rights Agreement, dated as of February  26, 2025, between Jaguar Health, Inc. and Equiniti Trust Company, LLC, as Rights Agent (incorporated by reference to Exhibit 4.1 to the Form 8-K filed February  27,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8">
              <w:r>
                <w:rPr>
                  <w:rStyle w:val="InternetLink"/>
                </w:rPr>
                <w:t>Form of Convertible Promissory Note (incorporated by reference to Exhibit 4.1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9">
              <w:r>
                <w:rPr>
                  <w:rStyle w:val="InternetLink"/>
                </w:rPr>
                <w:t>Form of Common Stock Warrant (incorporated by reference to Exhibit 4.2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0">
              <w:r>
                <w:rPr>
                  <w:rStyle w:val="InternetLink"/>
                </w:rPr>
                <w:t>Form of Placement Agent Warrant (incorporated by reference to Exhibit 4.3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1">
              <w:r>
                <w:rPr>
                  <w:rStyle w:val="InternetLink"/>
                </w:rPr>
                <w:t>Form of Common Stock Purchase Warrant (incorporated by reference to Exhibit 4.1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2">
              <w:r>
                <w:rPr>
                  <w:rStyle w:val="InternetLink"/>
                </w:rPr>
                <w:t>Form of Wainwright Warrant (incorporated by reference to Exhibit 4.2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3">
              <w:r>
                <w:rPr>
                  <w:rStyle w:val="InternetLink"/>
                </w:rPr>
                <w:t>Form of Replacement Note (incorporated by reference to Exhibit 4.1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4">
              <w:r>
                <w:rPr>
                  <w:rStyle w:val="InternetLink"/>
                </w:rPr>
                <w:t>Form of New Warrant (incorporated by reference to Exhibit 4.2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5">
              <w:r>
                <w:rPr>
                  <w:rStyle w:val="InternetLink"/>
                </w:rPr>
                <w:t>Pre-Funded Warrant, dated September  28, 2025, by and between Jaguar Health, Inc. and Brown Stone Capital Limited (incorporated by reference to Exhibit 4.1 to the Form 8-K filed October 11,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6">
              <w:r>
                <w:rPr>
                  <w:rStyle w:val="InternetLink"/>
                </w:rPr>
                <w:t>Secured Promissory Note, dated November  12, 2025, issued by Jaguar Health, Inc. to Streeterville Capital, LLC (incorporated by reference to Exhibit 4.1 to the Form 8-K filed November 14,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7">
              <w:r>
                <w:rPr>
                  <w:rStyle w:val="InternetLink"/>
                </w:rPr>
                <w:t>Global Amendment dated November  17, 2025, by and between Jaguar Health, Inc. and Iliad Research and Trading, L.P. (incorporated by reference to Exhibit 4.1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8">
              <w:r>
                <w:rPr>
                  <w:rStyle w:val="InternetLink"/>
                </w:rPr>
                <w:t>Global Amendment dated November  17, 2025, by and between Jaguar Health, Inc. and Uptown Capital, LLC (incorporated by reference to Exhibit 4.2 to the Form 8-K filed November 19,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9">
              <w:r>
                <w:rPr>
                  <w:rStyle w:val="InternetLink"/>
                </w:rPr>
                <w:t>Global Amendment dated November  17, 2025, by and between Jaguar Health, Inc. and Streeterville Capital, LLC (incorporated by reference to Exhibit 4.3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0">
              <w:r>
                <w:rPr>
                  <w:rStyle w:val="InternetLink"/>
                </w:rPr>
                <w:t>Note Amendment dated November  17, 2025, by and between Jaguar Health, Inc. and Streeterville Capital, LLC (incorporated by reference to Exhibit 4.4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1">
              <w:r>
                <w:rPr>
                  <w:rStyle w:val="InternetLink"/>
                </w:rPr>
                <w:t xml:space="preserve">First Pre-Funded Warrant, dated December 9, 2025 (incorporated by reference to Exhibit  4.51 to the Form 10-K filed on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2">
              <w:r>
                <w:rPr>
                  <w:rStyle w:val="InternetLink"/>
                </w:rPr>
                <w:t xml:space="preserve">Second Pre-Funded Warrant, dated December 11, 2025 (incorporated by reference to Exhibit  4.52 to the Form 10-K filed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3">
              <w:r>
                <w:rPr>
                  <w:rStyle w:val="InternetLink"/>
                </w:rPr>
                <w:t>Form of Unsecured Promissory Note (incorporated by reference to Exhibit 4.1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4">
              <w:r>
                <w:rPr>
                  <w:rStyle w:val="InternetLink"/>
                </w:rPr>
                <w:t>Form of Common Stock Warrant (incorporated by reference to Exhibit 4.2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5">
              <w:r>
                <w:rPr>
                  <w:rStyle w:val="InternetLink"/>
                </w:rPr>
                <w:t>Form of the Pre-Funded Warrant (incorporated by reference to Exhibit 4.1 to the Form 8-K filed January 23,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6">
              <w:r>
                <w:rPr>
                  <w:rStyle w:val="InternetLink"/>
                </w:rPr>
                <w:t>Form of Pre-Funded Warrant (incorporated by reference to Exhibit 4.1 to the Form 8-K filed February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7">
              <w:r>
                <w:rPr>
                  <w:rStyle w:val="InternetLink"/>
                </w:rPr>
                <w:t>Global Amendment No. 4 dated March  6, 2026, by and between Jaguar Health, Inc. and Uptown Capital, LLC (incorporated by reference to Exhibit 4.1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8">
              <w:r>
                <w:rPr>
                  <w:rStyle w:val="InternetLink"/>
                </w:rPr>
                <w:t>Global Amendment No. 4 dated March  6, 2026, by and between Jaguar Health, Inc. and Streeterville Capital, LLC (incorporated by reference to Exhibit 4.2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9">
              <w:r>
                <w:rPr>
                  <w:rStyle w:val="InternetLink"/>
                </w:rPr>
                <w:t>Amendment to the 2021 Note, dated March  6, 2026, by and among Jaguar Health, Inc., Napo Pharmaceuticals, Inc. and Streeterville Capital, LLC (incorporated by reference to Exhibit 4.3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0">
              <w:r>
                <w:rPr>
                  <w:rStyle w:val="InternetLink"/>
                </w:rPr>
                <w:t>Amendment to the 2025 Note, dated March  6, 2026, by and between Jaguar Health, Inc. and Streeterville Capital, LLC (incorporated by reference to Exhibit 4.4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1">
              <w:r>
                <w:rPr>
                  <w:rStyle w:val="InternetLink"/>
                </w:rPr>
                <w:t xml:space="preserve">Form of the Commencement Pre-Funded Warrant (incorporated by reference to Exhibit 4.1 to the Form 8-K filed June 11,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2">
              <w:r>
                <w:rPr>
                  <w:rStyle w:val="InternetLink"/>
                </w:rPr>
                <w:t xml:space="preserve">Global Amendment No. 5, dated June 17, 2026, by and between Jaguar Health, Inc. and Uptown Capital, LLC (incorporated by reference to Exhibit 4.1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3">
              <w:r>
                <w:rPr>
                  <w:rStyle w:val="InternetLink"/>
                </w:rPr>
                <w:t>Global Amendment No. 5, dated June 17, 2026, by and between Jaguar Health, Inc. and Streeterville Capital, LLC (incorporated by reference to Exhibit 4.2 to the Form 8-K filed June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4">
              <w:r>
                <w:rPr>
                  <w:rStyle w:val="InternetLink"/>
                </w:rPr>
                <w:t xml:space="preserve">Amendment to the 2021 Note, dated June 17, 2026, by and among Jaguar Health, Inc., Napo Pharmaceuticals, Inc. and Streeterville Capital, LLC (incorporated by reference to Exhibit 4.3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w:anchor="d47881dex51.htm">
              <w:r>
                <w:rPr>
                  <w:rStyle w:val="InternetLink"/>
                </w:rPr>
                <w:t xml:space="preserve">*Opinion of Reed Smith LLP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10.1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w:t>
            </w:r>
            <w:hyperlink r:id="rId135">
              <w:r>
                <w:rPr>
                  <w:rStyle w:val="InternetLink"/>
                </w:rPr>
                <w:t>Form of Indemnification Agreement by and between Jaguar Health, Inc. and its directors and officers (incorporated by reference to Exhibit 10.1 to the Registration Statement on Form S—1 (No. 333—198383) filed with the Securities and Exchange Commission on August 27, 2014).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6">
              <w:r>
                <w:rPr>
                  <w:rStyle w:val="InternetLink"/>
                </w:rPr>
                <w:t>Form of Notice of Grant of Stock Option and Stock Option Agreement under the 2014 Stock Incentive Plan (incorporated by reference to Exhibit 10.6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7">
              <w:r>
                <w:rPr>
                  <w:rStyle w:val="InternetLink"/>
                </w:rPr>
                <w:t>Form of Notice of Grant of Restricted Stock and Restricted Stock Agreement under the 2014 Stock Incentive Plan (incorporated by reference to Exhibit 10.7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8">
              <w:r>
                <w:rPr>
                  <w:rStyle w:val="InternetLink"/>
                </w:rPr>
                <w:t>Form of Notice of Grant of Restricted Stock Units and Restricted Stock Unit Agreement under the 2014 Stock Incentive Plan (incorporated by reference to Exhibit 10.8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9">
              <w:r>
                <w:rPr>
                  <w:rStyle w:val="InternetLink"/>
                </w:rPr>
                <w:t>Offer Letter by and between Jaguar Health, Inc. and Lisa A. Conte, dated March  1, 2014 (incorporated by reference to Exhibit 10.9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0">
              <w:r>
                <w:rPr>
                  <w:rStyle w:val="InternetLink"/>
                </w:rPr>
                <w:t>Offer Letter by and between Jaguar Health, Inc. and Steven R. King, Ph.D., dated February  28, 2014 (incorporated by reference to Exhibit 10.11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1">
              <w:r>
                <w:rPr>
                  <w:rStyle w:val="InternetLink"/>
                </w:rPr>
                <w:t>Formulation Development and Manufacturing Agreement between Jaguar Health, Inc. and Patheon Pharmaceuticals Inc., dated October 8, 2015 (incorporated by reference to Exhibit 10.30 to the Registration Statement on Form S—1 (No. 333—208905) filed with the Securities and Exchange Commission on January 7,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2">
              <w:r>
                <w:rPr>
                  <w:rStyle w:val="InternetLink"/>
                </w:rPr>
                <w:t>Common Stock Warrant issued pursuant to the Letter Agreement, dated November  8, 2016, between Jaguar Health, Inc. and Serious Change II LP, which expires July 28, 2022 (incorporated herein by reference to Exhibit 10.2 to the Quarterly Report on Form 10—Q (No. 001—36714) filed on November 14,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3">
              <w:r>
                <w:rPr>
                  <w:rStyle w:val="InternetLink"/>
                </w:rPr>
                <w:t xml:space="preserve">Distribution Agreement, dated December  9, 2016, by and between Jaguar Health, Inc. and Henry Schein, Inc. (incorporated herein by reference to Exhibit 10.41 to the Annual Report on Form 10—K filed on February 15, 2017).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4">
              <w:r>
                <w:rPr>
                  <w:rStyle w:val="InternetLink"/>
                </w:rPr>
                <w:t>Alliance Agreement, dated May  23, 2005, by and among AsiaPharm Investment Limited and its Affiliates, including Shandong Luye Pharmaceuticals Co. Ltd., and Napo Pharmaceuticals, Inc. (incorporated herein by reference to Exhibit 10.61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5">
              <w:r>
                <w:rPr>
                  <w:rStyle w:val="InternetLink"/>
                </w:rPr>
                <w:t>Finder’s Agreement, dated April  9, 2010, by and among Luye Pharma Group Limited and its Affiliates, including Shandong Luye Pharmaceuticals Co. Ltd., and Napo Pharmaceuticals, Inc. (incorporated herein by reference to Exhibit 10.62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6">
              <w:r>
                <w:rPr>
                  <w:rStyle w:val="InternetLink"/>
                </w:rPr>
                <w:t>License Agreement, dated February  28, 2007, by and between Insmed Incorporated and Napo Pharmaceuticals, Inc. (incorporated herein by reference to Exhibit 10.77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7">
              <w:r>
                <w:rPr>
                  <w:rStyle w:val="InternetLink"/>
                </w:rPr>
                <w:t>Amendment, Waiver &amp; Consent, dated June  27, 2017, by and among Jaguar Health, Inc., Nantucket Investments Limited, and Napo Pharmaceuticals, Inc. (incorporated by reference to Ex. 10.83 of the Company’s Registration Statement on Form S—4 (Registration No.  333—217364) filed on July 5, 2017).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7"/>
        <w:gridCol w:w="661"/>
        <w:gridCol w:w="8697"/>
      </w:tblGrid>
      <w:tr>
        <w:trPr/>
        <w:tc>
          <w:tcPr>
            <w:tcW w:w="847" w:type="dxa"/>
            <w:tcBorders/>
            <w:vAlign w:val="center"/>
          </w:tcPr>
          <w:p>
            <w:pPr>
              <w:pStyle w:val="TableContents"/>
              <w:bidi w:val="0"/>
              <w:spacing w:before="0" w:after="283"/>
              <w:jc w:val="left"/>
              <w:rPr>
                <w:sz w:val="4"/>
                <w:szCs w:val="4"/>
              </w:rPr>
            </w:pPr>
            <w:r>
              <w:rPr>
                <w:sz w:val="4"/>
                <w:szCs w:val="4"/>
              </w:rPr>
            </w:r>
          </w:p>
        </w:tc>
        <w:tc>
          <w:tcPr>
            <w:tcW w:w="661"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61" w:type="dxa"/>
            <w:tcBorders/>
            <w:vAlign w:val="bottom"/>
          </w:tcPr>
          <w:p>
            <w:pPr>
              <w:pStyle w:val="TableContents"/>
              <w:bidi w:val="0"/>
              <w:spacing w:before="0" w:after="283"/>
              <w:jc w:val="left"/>
              <w:rPr/>
            </w:pPr>
            <w:r>
              <w:rPr/>
              <w:t>  </w:t>
            </w:r>
          </w:p>
        </w:tc>
        <w:tc>
          <w:tcPr>
            <w:tcW w:w="86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48">
              <w:r>
                <w:rPr>
                  <w:rStyle w:val="InternetLink"/>
                </w:rPr>
                <w:t>Termination, Asset Transfer and Transition Agreement, dated September  22, 2017, by and between Napo Pharmaceuticals, Inc. and Alivus Pharmaceuticals, Ltd. (incorporated by reference to Ex. 10.8 to the Quarterly Report on Form 10—Q filed on November 20, 2017)</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9">
              <w:r>
                <w:rPr>
                  <w:rStyle w:val="InternetLink"/>
                </w:rPr>
                <w:t>Registration Rights Agreement, dated March  23, 2018, by and between Jaguar Health, Inc. and Sagard Capital Partners, L.P. (incorporated by reference to Ex. 10.2 to the Current Report on Form 8—K filed on March 27,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0">
              <w:r>
                <w:rPr>
                  <w:rStyle w:val="InternetLink"/>
                </w:rPr>
                <w:t>Registration Rights Agreement, dated September  11, 2018, by and between Jaguar Health, Inc. and L2 Capital, LLC (incorporated by reference to Ex. 10.3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1">
              <w:r>
                <w:rPr>
                  <w:rStyle w:val="InternetLink"/>
                </w:rPr>
                <w:t>Registration Rights Agreement, dated September  11, 2018, by and between Jaguar Health, Inc. and Charles Conte (incorporated by reference to Ex. 10.4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2">
              <w:r>
                <w:rPr>
                  <w:rStyle w:val="InternetLink"/>
                </w:rPr>
                <w:t>Form of Registration Rights Agreement (incorporated by reference to Exhibit 10.2 to the Form 8-K of Jaguar Health, Inc. filed March 22,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10.19</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3">
              <w:r>
                <w:rPr>
                  <w:rStyle w:val="InternetLink"/>
                </w:rPr>
                <w:t>Letter of Credit Cancellation &amp; Warrant Issuance Agreement, dated March  29, 2019, by and between Jaguar Health, Inc. and the letter of credit beneficiary named therein (incorporated by reference to Exhibit 10.1 to the Form 8-K of Jaguar Health, Inc. filed April 4,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10.20</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4">
              <w:r>
                <w:rPr>
                  <w:rStyle w:val="InternetLink"/>
                </w:rPr>
                <w:t>Amendment No. 1 to Registration Rights Agreement, dated May  30, 2019, by and between Jaguar Health, Inc. and Sagard Capital Partners, L.P. (incorporated by reference to Exhibit 10.120 to the Registration Statement on Form S-1 (No. 333-233989) filed with the Securities and Exchange Commission on September 27,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10.21</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5">
              <w:r>
                <w:rPr>
                  <w:rStyle w:val="InternetLink"/>
                </w:rPr>
                <w:t>Form of Amendment Agreement (incorporated by reference to Exhibit 10.1 to the Form 8-K of Jaguar Health, Inc. filed July 5,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10.22</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56">
              <w:r>
                <w:rPr>
                  <w:rStyle w:val="InternetLink"/>
                </w:rPr>
                <w:t>Master Services Agreement, dated June  24, 2019, by and among Napo Pharmaceuticals, Inc., Integrium, LLC, and POC Capital, LLC (incorporated by reference to Exhibit 10.24 to the Form 10-K of Jaguar Health, Inc. filed on March 31, 2021,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10.23</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7">
              <w:r>
                <w:rPr>
                  <w:rStyle w:val="InternetLink"/>
                </w:rPr>
                <w:t>Form of Exchange Agreement, between Jaguar Health, Inc. and Chicago Venture Partners, L.P. (incorporated by reference to Exhibit 10.6 to the Form 10-Q of Jaguar Health, Inc. filed on August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8">
              <w:r>
                <w:rPr>
                  <w:rStyle w:val="InternetLink"/>
                </w:rPr>
                <w:t>Form of Warrant Agency Agreement between Jaguar Health, Inc. and American Stock Transfer  &amp; Trust Company, LLC (incorporated by reference to Exhibit 10.117 to the Form S-1/A of Jaguar Health, Inc. filed on July 15, 2019, File No. 333-231399).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9">
              <w:r>
                <w:rPr>
                  <w:rStyle w:val="InternetLink"/>
                </w:rPr>
                <w:t>License Termination and Settlement Termination Agreement, dated October  1, 2019, by and among Jaguar Health, Inc., Napo Pharmaceuticals, Inc. and Michael Tempesta (incorporated by reference to Exhibit 10.1 to the Form 8-K of Jaguar Health, Inc. filed October 7,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60">
              <w:r>
                <w:rPr>
                  <w:rStyle w:val="InternetLink"/>
                </w:rPr>
                <w:t>Securities Purchase Agreement, dated November  13, 2019, by and between Jaguar Health, Inc. and the purchasers named therein (incorporated by reference to Exhibit 10.1 to the Form 8-K of Jaguar Health, Inc. filed November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61">
              <w:r>
                <w:rPr>
                  <w:rStyle w:val="InternetLink"/>
                </w:rPr>
                <w:t>Securities Purchase Agreement, dated December  20, 2019, by and between Jaguar Health, Inc. and the investors named therein (incorporated by reference to Exhibit 10.1 to the Form 8-K of Jaguar Health, Inc. filed December 26,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62">
              <w:r>
                <w:rPr>
                  <w:rStyle w:val="InternetLink"/>
                </w:rPr>
                <w:t>Form of Warrant Exercise Agreement by and between Jaguar Health, Inc. and the Holder named therein (incorporated by reference to Exhibit 10.1 to the Form 8-K filed February 28,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3">
              <w:r>
                <w:rPr>
                  <w:rStyle w:val="InternetLink"/>
                </w:rPr>
                <w:t>Securities Purchase Agreement, dated March  23, 2020, by and between Jaguar Health, Inc. and the investors named therein (incorporated by reference to Exhibit 10.1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4">
              <w:r>
                <w:rPr>
                  <w:rStyle w:val="InternetLink"/>
                </w:rPr>
                <w:t>Equity Purchase Agreement, dated March  24, 2020, by and between Jaguar Health, Inc. and Oasis Capital, LLC (incorporated by reference to Exhibit 10.4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5">
              <w:r>
                <w:rPr>
                  <w:rStyle w:val="InternetLink"/>
                </w:rPr>
                <w:t>Registration Rights Agreement, dated March  24, 2020, by and between Jaguar Health, Inc. and Oasis Capital, LLC (incorporated by reference to Exhibit 10.5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66">
              <w:r>
                <w:rPr>
                  <w:rStyle w:val="InternetLink"/>
                </w:rPr>
                <w:t>Jaguar Health, Inc. 2014 Stock Incentive Plan as amended and restated effective October  1, 2019 (incorporated by reference to Exhibit 10.101 to the Form 10-K of Jaguar Health, Inc. filed April 3, 2020, File No. 001 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7">
              <w:r>
                <w:rPr>
                  <w:rStyle w:val="InternetLink"/>
                </w:rPr>
                <w:t>Purchase Agreement, dated April  15, 2020, by and between Napo Pharmaceuticals, Inc. and Atlas Sciences, LLC (incorporated by reference to Exhibit 10.1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8">
              <w:r>
                <w:rPr>
                  <w:rStyle w:val="InternetLink"/>
                </w:rPr>
                <w:t>License Agreement, dated April  15, 2020, by and between Jaguar Health, Inc. and Atlas Sciences, LLC (incorporated by reference to Exhibit 10.2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9">
              <w:r>
                <w:rPr>
                  <w:rStyle w:val="InternetLink"/>
                </w:rPr>
                <w:t>Purchase Agreement, dated May  12, 2020, by and among Jaguar Health, Inc., Napo Pharmaceuticals, Inc. and Oasis Capital, LLC (incorporated by reference to Exhibit 10,1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0">
              <w:r>
                <w:rPr>
                  <w:rStyle w:val="InternetLink"/>
                </w:rPr>
                <w:t>Assignment Agreement, dated May  12, 2020, by and between Napo Pharmaceuticals, Inc. and Oasis Capital, LLC (incorporated by reference to Exhibit 10.2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1">
              <w:r>
                <w:rPr>
                  <w:rStyle w:val="InternetLink"/>
                </w:rPr>
                <w:t>Jaguar Health, Inc. New Employee Inducement Award Plan (incorporated by reference to Exhibit 10.1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2">
              <w:r>
                <w:rPr>
                  <w:rStyle w:val="InternetLink"/>
                </w:rPr>
                <w:t>Form of Notice of Grant of Stock Option and Stock Option Agreement under Jaguar Health, Inc. New Employee Inducement Award Plan (incorporated by reference to Exhibit 10.2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3">
              <w:r>
                <w:rPr>
                  <w:rStyle w:val="InternetLink"/>
                </w:rPr>
                <w:t xml:space="preserve">Form of Notice of Grant of Restricted Stock Units and Restricted Stock Unit Agreement under the Jaguar Health, Inc. New Employee Inducement Award Plan (incorporated by reference to Exhibit 10.3 to the Form 8-K filed June 19, 2020,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4">
              <w:r>
                <w:rPr>
                  <w:rStyle w:val="InternetLink"/>
                </w:rPr>
                <w:t>Securities Purchase Agreement, dated March  4, 2020, by and between Jaguar Health, Inc. and Iliad Research and Trading, L.P. (incorporated by reference to Exhibit 10.1 to the Form 8-K filed March  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5">
              <w:r>
                <w:rPr>
                  <w:rStyle w:val="InternetLink"/>
                </w:rPr>
                <w:t>First Amendment to Royalty Interest Purchase Agreement and Related Documents, dated July  10, 2020, between Jaguar Health, Inc. and Iliad Research and Trading, L.P. (incorporated by reference to Exhibit 10.1 to the Form 8-K filed July 14,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6">
              <w:r>
                <w:rPr>
                  <w:rStyle w:val="InternetLink"/>
                </w:rPr>
                <w:t>Form of Severance and Change of Control Agreement (incorporated by reference to Exhibit 10.11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7">
              <w:r>
                <w:rPr>
                  <w:rStyle w:val="InternetLink"/>
                </w:rPr>
                <w:t>First Amendment to Purchase Agreement, dated June  26, 2020, by and among Jaguar Health, Inc., Napo Pharmaceuticals, Inc. and Oasis Capital, LLC (incorporated by reference to Exhibit 10.12 to the Form 10-Q filed August 13,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8">
              <w:r>
                <w:rPr>
                  <w:rStyle w:val="InternetLink"/>
                </w:rPr>
                <w:t>First Amendment to Assignment Agreement, dated June  26, 2020, by and between Napo Pharmaceuticals, Inc. and Oasis Capital, LLC (incorporated by reference to Exhibit 10.13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9">
              <w:r>
                <w:rPr>
                  <w:rStyle w:val="InternetLink"/>
                </w:rPr>
                <w:t>Exchange Agreement, dated September  1, 2020, by and between Jaguar Health, Inc. and Iliad Research and Trading, L.P. (incorporated by reference to Exhibit 10.1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0">
              <w:r>
                <w:rPr>
                  <w:rStyle w:val="InternetLink"/>
                </w:rPr>
                <w:t>Stock Plan Agreement for Payment of Consulting Services, dated September  1, 2020, by and among Jaguar Health, Inc., Sagard Capital Partners Management Corp. and Sagard Capital Partners, L.P. (incorporated by reference to Exhibit 10.2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1">
              <w:r>
                <w:rPr>
                  <w:rStyle w:val="InternetLink"/>
                </w:rPr>
                <w:t>Stock Plan Agreement, dated October  6, 2020, by and between Jaguar Health, Inc. and PoC Capital, LLC (incorporated by reference to Exhibit 10.1 to the Form 8-K filed October 7,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2">
              <w:r>
                <w:rPr>
                  <w:rStyle w:val="InternetLink"/>
                </w:rPr>
                <w:t>Fee Settlement Agreement dated October  7, 2020, by and between Jaguar Health, Inc. and Atlas Sciences, LLC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3">
              <w:r>
                <w:rPr>
                  <w:rStyle w:val="InternetLink"/>
                </w:rPr>
                <w:t>Royalty Interest Purchase Agreement, dated October 8, 2020, by and between Jaguar Health, Inc. and Iliad Research and Trading,</w:t>
              </w:r>
            </w:hyperlink>
            <w:r>
              <w:rPr/>
              <w:t xml:space="preserve"> </w:t>
            </w:r>
            <w:hyperlink r:id="rId184">
              <w:r>
                <w:rPr>
                  <w:rStyle w:val="InternetLink"/>
                </w:rPr>
                <w:t>L.P.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5">
              <w:r>
                <w:rPr>
                  <w:rStyle w:val="InternetLink"/>
                </w:rPr>
                <w:t>Exchange Agreement, dated October  8, 2020, by and between Jaguar Health, Inc. and Iliad Research and Trading, L.P. (incorporated by reference to Exhibit 10.2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6">
              <w:r>
                <w:rPr>
                  <w:rStyle w:val="InternetLink"/>
                </w:rPr>
                <w:t>Office Sublease Agreement, dated August  31, 2020, by and between Jaguar Health, Inc. and Peacock Construction, Inc. (incorporated by reference to Exhibit 10.4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7">
              <w:r>
                <w:rPr>
                  <w:rStyle w:val="InternetLink"/>
                </w:rPr>
                <w:t>Consent to Sublease Agreement, dated August  31, 2020, by and among M&amp;E, LLC, Jaguar Health, Inc. and Peacock Construction, Inc. (incorporated by reference to Exhibit 10.5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8">
              <w:r>
                <w:rPr>
                  <w:rStyle w:val="InternetLink"/>
                </w:rPr>
                <w:t>Manufacturing and Supply Agreement, dated September  3, 2020, by and between Alivus Life Sciences Limited and Napo Pharmaceuticals, Inc. (incorporated by reference to Exhibit 10.6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9">
              <w:r>
                <w:rPr>
                  <w:rStyle w:val="InternetLink"/>
                </w:rPr>
                <w:t>Securities Purchase Agreement, dated December  22, 2020, by and between Jaguar Health, Inc. and Irving Park Capital, LLC (incorporated by reference to Exhibit 10.1 to the Form 8-K filed December 29,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0">
              <w:r>
                <w:rPr>
                  <w:rStyle w:val="InternetLink"/>
                </w:rPr>
                <w:t>Note Purchase Agreement, dated January  19, 2021, by and among Jaguar Health, Inc., Napo Pharmaceuticals, Inc. and Streeterville Capital, LLC (incorporated by reference to Exhibit 10.1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1">
              <w:r>
                <w:rPr>
                  <w:rStyle w:val="InternetLink"/>
                </w:rPr>
                <w:t>Security Agreement, dated January  19, 2021, by and between Napo Pharmaceuticals, Inc. and Streeterville Capital, LLC (incorporated by reference to Exhibit 10.2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92">
              <w:r>
                <w:rPr>
                  <w:rStyle w:val="InternetLink"/>
                </w:rPr>
                <w:t>Master Services Agreement, dated October  5, 2020, by and between Napo Pharmaceuticals, Inc. and Integrium, LLC (incorporated by reference to Exhibit 10.67 to the Form 10-K filed March 31,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3">
              <w:r>
                <w:rPr>
                  <w:rStyle w:val="InternetLink"/>
                </w:rPr>
                <w:t>Form of Securities Purchase Agreement (incorporated by reference to Exhibit 10.1 to the Form 8-K of Jaguar Health, Inc. filed January 14, 2021,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3"/>
        <w:gridCol w:w="684"/>
        <w:gridCol w:w="8668"/>
      </w:tblGrid>
      <w:tr>
        <w:trPr/>
        <w:tc>
          <w:tcPr>
            <w:tcW w:w="853" w:type="dxa"/>
            <w:tcBorders/>
            <w:vAlign w:val="center"/>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8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4" w:type="dxa"/>
            <w:tcBorders/>
            <w:vAlign w:val="bottom"/>
          </w:tcPr>
          <w:p>
            <w:pPr>
              <w:pStyle w:val="TableContents"/>
              <w:bidi w:val="0"/>
              <w:spacing w:before="0" w:after="283"/>
              <w:jc w:val="left"/>
              <w:rPr/>
            </w:pPr>
            <w:r>
              <w:rPr/>
              <w:t>  </w:t>
            </w:r>
          </w:p>
        </w:tc>
        <w:tc>
          <w:tcPr>
            <w:tcW w:w="86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10.59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4">
              <w:r>
                <w:rPr>
                  <w:rStyle w:val="InternetLink"/>
                </w:rPr>
                <w:t>Office Lease Agreement, dated March 25, 2021, by and between Jaguar Health, Inc. and M  &amp; E LLC (incorporated by reference to Exhibit 10.1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5">
              <w:r>
                <w:rPr>
                  <w:rStyle w:val="InternetLink"/>
                </w:rPr>
                <w:t>First Amendment to the Equity Purchase Agreement, dated April  7, 2021, by and between Jaguar Health, Inc. and Oasis Capital, LLC (incorporated by reference to Exhibit 10.2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6">
              <w:r>
                <w:rPr>
                  <w:rStyle w:val="InternetLink"/>
                </w:rPr>
                <w:t>Registration Rights Agreement, dated April  7, 2021, by and between Jaguar Health, Inc. and Oasis Capital, LLC (incorporated by reference to Exhibit 10.3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7">
              <w:r>
                <w:rPr>
                  <w:rStyle w:val="InternetLink"/>
                </w:rPr>
                <w:t>Form of Securities Purchase Agreement, dated April 29, 2021 (incorporated by reference to Exhibit 10.1 to the Form 8-K of Jaguar Health, Inc. filed April 30,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8">
              <w:r>
                <w:rPr>
                  <w:rStyle w:val="InternetLink"/>
                </w:rPr>
                <w:t>Subscription Agreement, dated June  1, 2021, by and among Dragon SPAC S.p.A., Napo Pharmaceuticals, Inc. and Joshua Mailman (incorporated by reference to Exhibit 10.1 to the Form 8-K of Jaguar Health, Inc. filed June 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10.64</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9">
              <w:r>
                <w:rPr>
                  <w:rStyle w:val="InternetLink"/>
                </w:rPr>
                <w:t>License Agreement, dated August  18, 2021, by and between Napo Pharmaceuticals, Inc. and Napo EU S.p.A. (incorporated by reference to Exhibit 10.1 to the Form 8-K of Jaguar Health, Inc. filed August 24,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10.65</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0">
              <w:r>
                <w:rPr>
                  <w:rStyle w:val="InternetLink"/>
                </w:rPr>
                <w:t>Securities Purchase Agreement, dated September  13, 2021, by and between Jaguar Health, Inc. and the investors named therein (incorporated by reference to Exhibit 10.1 to the Form 8-K of Jaguar Health, Inc. filed September 17,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10.66</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1">
              <w:r>
                <w:rPr>
                  <w:rStyle w:val="InternetLink"/>
                </w:rPr>
                <w:t>At The Market Offering Agreement, dated December 10, 2021, by and between Jaguar Health, Inc. and Ladenburg Thalmann  &amp; Co. Inc. (incorporated by reference to Exhibit 10.1 to the Form 8-K of Jaguar Health, Inc. filed December 10,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10.67</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2">
              <w:r>
                <w:rPr>
                  <w:rStyle w:val="InternetLink"/>
                </w:rPr>
                <w:t>First Amendment to the At the Market Offering Agreement, dated February  2, 2022, by and between Jaguar Health, Inc. and Ladenburg Thalmann &amp; Co. Inc. (incorporated by reference to Exhibit 10.1 to the Form 8-K of Jaguar Health, Inc. filed February 2,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10.68</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3">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4">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5">
              <w:r>
                <w:rPr>
                  <w:rStyle w:val="InternetLink"/>
                </w:rPr>
                <w:t>Manufacturing Services Agreement, dated June  10, 2022, by and between Napo Pharmaceuticals, Inc. and Patheon Pharmaceuticals Inc. (incorporated by reference to Exhibit 10.1 to the Form 8-K/A of Jaguar Health, Inc. filed August 24,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6">
              <w:r>
                <w:rPr>
                  <w:rStyle w:val="InternetLink"/>
                </w:rPr>
                <w:t>License and Services Agreement, dated June  29, 2022, by and among Jaguar Health, Inc., SynWorld Technologies Corporation, C&amp;E Telecom, LTD and Tao Wang (incorporated by reference to Exhibit 10.1 to the Form 8-K of Jaguar Health, Inc. filed June  29,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7">
              <w:r>
                <w:rPr>
                  <w:rStyle w:val="InternetLink"/>
                </w:rPr>
                <w:t>Amended and Restated License Agreement, dated July 19, 2022, by and between Napo Pharmaceuticals, Inc. and Napo Therapeutics</w:t>
              </w:r>
            </w:hyperlink>
            <w:r>
              <w:rPr/>
              <w:t xml:space="preserve"> </w:t>
            </w:r>
            <w:hyperlink r:id="rId208">
              <w:r>
                <w:rPr>
                  <w:rStyle w:val="InternetLink"/>
                </w:rPr>
                <w:t>S.p.A. (incorporated by reference to Exhibit 10.1 to the Form 8-K of Jaguar Health, Inc. filed July 20,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9">
              <w:r>
                <w:rPr>
                  <w:rStyle w:val="InternetLink"/>
                </w:rPr>
                <w:t>Securities Purchase Agreement, dated August  18, 2022, by and between Jaguar Health, Inc. and SynWorld Technologies Corporation (incorporated by reference to Exhibit 10.1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0">
              <w:r>
                <w:rPr>
                  <w:rStyle w:val="InternetLink"/>
                </w:rPr>
                <w:t>First Amendment to the License and Services Agreement, dated August  18, 2022, by and between Jaguar Health, Inc. and SynWorld Technologies Corporation (incorporated by reference to Exhibit 10.2 to the Form 8-K of Jaguar Health, Inc. filed August 23,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1">
              <w:r>
                <w:rPr>
                  <w:rStyle w:val="InternetLink"/>
                </w:rPr>
                <w:t>Royalty Interest Purchase Agreement, dated August  24, 2022, by and between Jaguar Health, Inc. and Streeterville Capital, LLC (incorporated by reference to Exhibit 10.1 to the Form 8-K of Jaguar Health, Inc. filed August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2">
              <w:r>
                <w:rPr>
                  <w:rStyle w:val="InternetLink"/>
                </w:rPr>
                <w:t>Amended and Restated License and Services Agreement, dated October  11, 2022, by and among Jaguar Health, Inc., SynWorld Technologies Corporation, C&amp;E Telecom, LTD and Tao Wang (incorporated by reference to Exhibit 10.1 to the Form 8-K of Jaguar Health, Inc. October  14,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3">
              <w:r>
                <w:rPr>
                  <w:rStyle w:val="InternetLink"/>
                </w:rPr>
                <w:t>Global Amendment, dated October  17, 2022, by and among Jaguar Health, Inc., Napo Pharmaceuticals, Inc. and Streeterville Capital, LLC (incorporated by reference to Exhibit 10.1 to the Form 8-K of Jaguar Health, Inc. filed October  21,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4">
              <w:r>
                <w:rPr>
                  <w:rStyle w:val="InternetLink"/>
                </w:rPr>
                <w:t>Securities Purchase Agreement, dated November  11, 2022, by and between Jaguar Health, Inc. and SynWorld Technologies Corporation (incorporated by reference to Exhibit 10.1 to the Form 8-K of Jaguar Health, Inc. filed November 16,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5">
              <w:r>
                <w:rPr>
                  <w:rStyle w:val="InternetLink"/>
                </w:rPr>
                <w:t>Form of Company Stock Option Cancellation Agreement (incorporated by reference to Exhibit 10.1 to the Form 8-K of Jaguar Health, Inc. filed December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6">
              <w:r>
                <w:rPr>
                  <w:rStyle w:val="InternetLink"/>
                </w:rPr>
                <w:t>Mutual Termination of License Agreement, dated as of January  31, 2023, by and among Jaguar Health, Inc., SynWorld Technologies Corporation, C&amp;E Telecom, LTD, and Tao Wang (incorporated by reference to Exhibit 10.1 to the Form 8-K of Jaguar Health, Inc. filed February 6,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7">
              <w:r>
                <w:rPr>
                  <w:rStyle w:val="InternetLink"/>
                </w:rPr>
                <w:t>Form of Securities Purchase Agreement, dated May 8, 2023 (incorporated by reference to Exhibit 10.1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8">
              <w:r>
                <w:rPr>
                  <w:rStyle w:val="InternetLink"/>
                </w:rPr>
                <w:t>Standstill Agreement, dated May  8, 2023 (incorporated by reference to Exhibit 10.2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9">
              <w:r>
                <w:rPr>
                  <w:rStyle w:val="InternetLink"/>
                </w:rPr>
                <w:t>Second Amendment to the Jaguar Health, Inc. New Employee Inducement Award Plan (incorporated by reference to Exhibit 10.1 to the Form 8-K of Jaguar Health, Inc. filed May 19,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0">
              <w:r>
                <w:rPr>
                  <w:rStyle w:val="InternetLink"/>
                </w:rPr>
                <w:t>Form of Exchange Agreement, dated June  28, 2023, by and between Jaguar Health, Inc. and Uptown Capital, LLC (incorporated by reference to Exhibit 10.1 to the Form 8-K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1">
              <w:r>
                <w:rPr>
                  <w:rStyle w:val="InternetLink"/>
                </w:rPr>
                <w:t>First Amendment to the Standstill Agreement, dated June 28, 2023 (incorporated by reference to Exhibit 10.2 to the Form 8-K of Jaguar Health, Inc.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2">
              <w:r>
                <w:rPr>
                  <w:rStyle w:val="InternetLink"/>
                </w:rPr>
                <w:t>Binding Memorandum of Understanding, dated June  30, 2023, by and among Jaguar Health, Inc., Napo Pharmaceuticals, Inc., Iliad Research and Trading, L.P., Uptown Capital, LLC and Streeterville Capital, LLC (incorporated by reference to Exhibit 10.6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3">
              <w:r>
                <w:rPr>
                  <w:rStyle w:val="InternetLink"/>
                </w:rPr>
                <w:t>Amendment No. 1 to Manufacturing and Supply Agreement, dated July  12, 2023, by and between Napo Pharmaceuticals, Inc. and Alivus Life Sciences Limited (incorporated by reference to Exhibit 10.7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4">
              <w:r>
                <w:rPr>
                  <w:rStyle w:val="InternetLink"/>
                </w:rPr>
                <w:t>Exchange Agreement, dated September  29, 2023, by and between Jaguar Health, Inc. and Uptown Capital, LLC (incorporated by reference to Exhibit 10.1 to the Form 8-K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5"/>
        <w:gridCol w:w="599"/>
        <w:gridCol w:w="8751"/>
      </w:tblGrid>
      <w:tr>
        <w:trPr/>
        <w:tc>
          <w:tcPr>
            <w:tcW w:w="8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99" w:type="dxa"/>
            <w:tcBorders/>
            <w:vAlign w:val="bottom"/>
          </w:tcPr>
          <w:p>
            <w:pPr>
              <w:pStyle w:val="TableContents"/>
              <w:bidi w:val="0"/>
              <w:spacing w:before="0" w:after="283"/>
              <w:jc w:val="left"/>
              <w:rPr/>
            </w:pPr>
            <w:r>
              <w:rPr/>
              <w:t>  </w:t>
            </w:r>
          </w:p>
        </w:tc>
        <w:tc>
          <w:tcPr>
            <w:tcW w:w="875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10.89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5">
              <w:r>
                <w:rPr>
                  <w:rStyle w:val="InternetLink"/>
                </w:rPr>
                <w:t>First Amendment to 200 Pine Street Office Lease, dated December 24, 2021, between Jaguar Health, Inc. and M  &amp; E, LLC (incorporated by reference to Exhibit 10.1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6">
              <w:r>
                <w:rPr>
                  <w:rStyle w:val="InternetLink"/>
                </w:rPr>
                <w:t>Second Amendment to 200 Pine Street Office Lease, dated October 25, 2023, between Jaguar Health, Inc. and M  &amp; E, LLC (incorporated by reference to Exhibit 10.2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7">
              <w:r>
                <w:rPr>
                  <w:rStyle w:val="InternetLink"/>
                </w:rPr>
                <w:t>Exchange Agreement, dated March  1, 2024, by and between Jaguar Health, Inc. and Streeterville Capital, LLC (incorporated by reference to Exhibit 10.1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8">
              <w:r>
                <w:rPr>
                  <w:rStyle w:val="InternetLink"/>
                </w:rPr>
                <w:t>Form of PIPE Warrant Exchange Agreement, dated February  27, 2024, by and between Jaguar Health, Inc. and the PIPE investor (incorporated by reference to Exhibit 10.2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9">
              <w:r>
                <w:rPr>
                  <w:rStyle w:val="InternetLink"/>
                </w:rPr>
                <w:t>Second Amendment to the At the Market Offering Agreement, dated May  23, 2024, by and between Jaguar Health, Inc. and Ladenburg Thalmann &amp; Co. Inc. (incorporated by reference to Exhibit 10.1 to the Form 8-K of Jaguar Health, Inc. filed May 23,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0">
              <w:r>
                <w:rPr>
                  <w:rStyle w:val="InternetLink"/>
                </w:rPr>
                <w:t>Third Amendment to the At the Market Offering Agreement, dated July  17, 2024, by and between Jaguar Health, Inc., Ladenburg Thalmann  &amp; Co. Inc. and Lucid Capital Markets, LLC (incorporated by reference to Exhibit 10.1 to the Form 8-K of Jaguar Health, Inc. filed July 18,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1">
              <w:r>
                <w:rPr>
                  <w:rStyle w:val="InternetLink"/>
                </w:rPr>
                <w:t>Fourth Amendment to the At the Market Offering Agreement, dated November  13, 2024, by and between Jaguar Health, Inc., Ladenburg Thalmann  &amp; Co. Inc. and Lucid Capital Markets, LLC (incorporated by reference to Exhibit 10.1 to the Form 8-K of Jaguar Health, Inc. filed November 13,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10.96</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2">
              <w:r>
                <w:rPr>
                  <w:rStyle w:val="InternetLink"/>
                </w:rPr>
                <w:t>Form of Limited Waiver (incorporated by reference to Exhibit 10.1 to the Form 8-K of Jaguar Health, Inc. filed May 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10.97</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3">
              <w:r>
                <w:rPr>
                  <w:rStyle w:val="InternetLink"/>
                </w:rPr>
                <w:t>Fifth Amendment to the At the Market Offering Agreement, dated February  4, 2025, by and between Jaguar Health, Inc., Ladenburg Thalmann &amp; Co. Inc. and Lucid Capital Markets, LLC. (incorporated by reference to Exhibit 10.91 to the Form 10-K filed April  7, 2026,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10.98</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4">
              <w:r>
                <w:rPr>
                  <w:rStyle w:val="InternetLink"/>
                </w:rPr>
                <w:t>Form of Securities Purchase Agreement (incorporated by reference to Exhibit 10.1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5">
              <w:r>
                <w:rPr>
                  <w:rStyle w:val="InternetLink"/>
                </w:rPr>
                <w:t>Form of Registration Rights Agreement (incorporated by reference to Exhibit 10.2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6">
              <w:r>
                <w:rPr>
                  <w:rStyle w:val="InternetLink"/>
                </w:rPr>
                <w:t>Iliad Common Stock Exchange Agreement (incorporated by reference to Exhibit 10.1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7">
              <w:r>
                <w:rPr>
                  <w:rStyle w:val="InternetLink"/>
                </w:rPr>
                <w:t>Streeterville Exchange Agreement (incorporated by reference to Exhibit 10.2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8">
              <w:r>
                <w:rPr>
                  <w:rStyle w:val="InternetLink"/>
                </w:rPr>
                <w:t>Iliad Series L Exchange Agreement (incorporated by reference to Exhibit 10.3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9">
              <w:r>
                <w:rPr>
                  <w:rStyle w:val="InternetLink"/>
                </w:rPr>
                <w:t>Form of Securities Purchase Agreement (incorporated by reference to Exhibit 10.1 to the Form  8-K filed May 22,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40">
              <w:r>
                <w:rPr>
                  <w:rStyle w:val="InternetLink"/>
                </w:rPr>
                <w:t>Form of Note Exchange and Warrant Purchase Agreement (incorporated by reference to Exhibit 10.1 to the Form 8-K filed June 24,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41">
              <w:r>
                <w:rPr>
                  <w:rStyle w:val="InternetLink"/>
                </w:rPr>
                <w:t>Iliad Series M Exchange Agreement (incorporated by reference to Exhibit 10.1 to the Form  8-K filed June 30,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2">
              <w:r>
                <w:rPr>
                  <w:rStyle w:val="InternetLink"/>
                </w:rPr>
                <w:t>Streeterville Series M Exchange Agreement (incorporated by reference to Exhibit 10.2 to the Form  8-K filed June 30,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3">
              <w:r>
                <w:rPr>
                  <w:rStyle w:val="InternetLink"/>
                </w:rPr>
                <w:t>Sixth ATM Amendment, dated August 14, 2025, to ATM Agreement by and among Jaguar Health, Inc., Ladenburg Thalmann  &amp; Co. Inc. and Lucid Capital Markets, LLC. (incorporated by reference to Exhibit 10.1 to the Form 8-K filed August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4">
              <w:r>
                <w:rPr>
                  <w:rStyle w:val="InternetLink"/>
                </w:rPr>
                <w:t>Form of Securities Purchase Agreements (incorporated by reference to Exhibit 10.1 to the Form  8-K filed September 11,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5">
              <w:r>
                <w:rPr>
                  <w:rStyle w:val="InternetLink"/>
                </w:rPr>
                <w:t>Securities Purchase Agreement, dated September  28, 2025, by and between Jaguar Health, Inc. and Brown Stone Capital Limited (incorporated by reference to Exhibit 10.1 to the Form 8-K filed October 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6">
              <w:r>
                <w:rPr>
                  <w:rStyle w:val="InternetLink"/>
                </w:rPr>
                <w:t>Form of Exchange Agreement (incorporated by reference to Exhibit 10.1 to the Form 8-K filed October 3,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7">
              <w:r>
                <w:rPr>
                  <w:rStyle w:val="InternetLink"/>
                </w:rPr>
                <w:t>Note Purchase Agreement, dated November  12, 2025, by and between Jaguar Health, Inc. and Streeterville Capital, LLC (incorporated by reference to Exhibit 10.1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8">
              <w:r>
                <w:rPr>
                  <w:rStyle w:val="InternetLink"/>
                </w:rPr>
                <w:t>Deposit Account Control Agreement, dated November  12, 2025, by and among JAGX Holdings, LLC, Streeterville Capital, LLC and Lakeside Bank (incorporated by reference to Exhibit 10.2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9">
              <w:r>
                <w:rPr>
                  <w:rStyle w:val="InternetLink"/>
                </w:rPr>
                <w:t>Guaranty, dated November 12, 2025, by JAGX Holdings, LLC (incorporated by reference to Exhibit 10.3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0">
              <w:r>
                <w:rPr>
                  <w:rStyle w:val="InternetLink"/>
                </w:rPr>
                <w:t>Pledge Agreement, dated November 12, 2025, by Jaguar Health, Inc. (incorporated by reference to Exhibit 10.4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1">
              <w:r>
                <w:rPr>
                  <w:rStyle w:val="InternetLink"/>
                </w:rPr>
                <w:t>Exchange Agreement dated November  17, 2025, by and between Jaguar Health, Inc. and Streeterville Capital, LLC (incorporated by reference to Exhibit 10.1 to the Form 8-K filed November  19,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2">
              <w:r>
                <w:rPr>
                  <w:rStyle w:val="InternetLink"/>
                </w:rPr>
                <w:t>First Exchange Agreement, dated December  9, 2025, by and between Jaguar Health, Inc. and Iliad Research and Trading, L.P. (incorporated by reference to Exhibit 10.116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3">
              <w:r>
                <w:rPr>
                  <w:rStyle w:val="InternetLink"/>
                </w:rPr>
                <w:t>Second Exchange Agreement, dated December  11, 2025, by and between Jaguar Health, Inc. and Iliad Research and Trading, L.P. (incorporated by reference to Exhibit 10.117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4">
              <w:r>
                <w:rPr>
                  <w:rStyle w:val="InternetLink"/>
                </w:rPr>
                <w:t>Form of Securities Purchase Agreement (incorporated by reference to Exhibit 10.1 to the Form  8-K/A filed January 12,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5">
              <w:r>
                <w:rPr>
                  <w:rStyle w:val="InternetLink"/>
                </w:rPr>
                <w:t xml:space="preserve">License Agreement, dated January  12, 2026, by and among Napo Pharmaceuticals, Inc., Jaguar Health, Inc., Woodward Specialty LLC and Future Pak, LLC (incorporated by reference to Exhibit 10.1 to the Form 8-K filed January  15,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6">
              <w:r>
                <w:rPr>
                  <w:rStyle w:val="InternetLink"/>
                </w:rPr>
                <w:t>Supply Agreement, dated January  12, 2026, by and among Napo Pharmaceuticals, Inc., Woodward Specialty LLC and Future Pak, LLC (incorporated by reference to Exhibit 10.2 to the Form 8-K filed January 15,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7">
              <w:r>
                <w:rPr>
                  <w:rStyle w:val="InternetLink"/>
                </w:rPr>
                <w:t>Iliad Royalty Interest Exchange Agreement, dated January 16, 2026 (incorporated by reference to Exhibit 10.1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8">
              <w:r>
                <w:rPr>
                  <w:rStyle w:val="InternetLink"/>
                </w:rPr>
                <w:t>Streeterville Royalty Interest Exchange Agreement, dated January 16, 2026 (incorporated by reference to Exhibit 10.2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9">
              <w:r>
                <w:rPr>
                  <w:rStyle w:val="InternetLink"/>
                </w:rPr>
                <w:t>Iliad Series L Exchange Agreement, dated January 16, 2026 (incorporated by reference to Exhibit 10.3 to the Form 8-K filed January 23, 2026,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4"/>
        <w:gridCol w:w="508"/>
        <w:gridCol w:w="8843"/>
      </w:tblGrid>
      <w:tr>
        <w:trPr/>
        <w:tc>
          <w:tcPr>
            <w:tcW w:w="85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08" w:type="dxa"/>
            <w:tcBorders/>
            <w:vAlign w:val="bottom"/>
          </w:tcPr>
          <w:p>
            <w:pPr>
              <w:pStyle w:val="TableContents"/>
              <w:bidi w:val="0"/>
              <w:spacing w:before="0" w:after="283"/>
              <w:jc w:val="left"/>
              <w:rPr/>
            </w:pPr>
            <w:r>
              <w:rPr/>
              <w:t>  </w:t>
            </w:r>
          </w:p>
        </w:tc>
        <w:tc>
          <w:tcPr>
            <w:tcW w:w="88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0">
              <w:r>
                <w:rPr>
                  <w:rStyle w:val="InternetLink"/>
                </w:rPr>
                <w:t>Streeterville Series L Exchange Agreement, dated January 16, 2026 (incorporated by reference to Exhibit 10.4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1">
              <w:r>
                <w:rPr>
                  <w:rStyle w:val="InternetLink"/>
                </w:rPr>
                <w:t>Iliad Series M Exchange Agreement, dated January 16, 2026 (incorporated by reference to Exhibit 10.5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2">
              <w:r>
                <w:rPr>
                  <w:rStyle w:val="InternetLink"/>
                </w:rPr>
                <w:t>Streeterville Series M Exchange Agreement, dated January 16, 2026 (incorporated by reference to Exhibit 10.6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3">
              <w:r>
                <w:rPr>
                  <w:rStyle w:val="InternetLink"/>
                </w:rPr>
                <w:t>Security Agreement, dated March  6, 2026, by and between Napo Pharmaceuticals, Inc. and Streeterville Capital, LLC (incorporated by reference to Exhibit 10.1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10.128</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4">
              <w:r>
                <w:rPr>
                  <w:rStyle w:val="InternetLink"/>
                </w:rPr>
                <w:t>Warrant Termination Agreement, dated March  6, 2026, by and between Jaguar Health, Inc., Uptown Capital, LLC, Streeterville Capital, LLC and Iliad Research and Trading, L.P. (incorporated by reference to Exhibit 10.2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10.129</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5">
              <w:r>
                <w:rPr>
                  <w:rStyle w:val="InternetLink"/>
                </w:rPr>
                <w:t xml:space="preserve">ELOC Agreement, dated June  9, 2026, by and between Jaguar Health, Inc. and the Institutional Investor named therein (incorporated by reference to Exhibit 10.1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10.130</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6">
              <w:r>
                <w:rPr>
                  <w:rStyle w:val="InternetLink"/>
                </w:rPr>
                <w:t xml:space="preserve">ELOC Registration Rights Agreement, dated June  9, 2026, by and between Jaguar Health, Inc. and the Institutional Investor named therein (incorporated by reference to Exhibit 10.2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7">
              <w:r>
                <w:rPr>
                  <w:rStyle w:val="InternetLink"/>
                </w:rPr>
                <w:t xml:space="preserve">Form of the Preferred Stock Purchase Agreements (incorporated by reference to Exhibit 10.3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8">
              <w:r>
                <w:rPr>
                  <w:rStyle w:val="InternetLink"/>
                </w:rPr>
                <w:t xml:space="preserve">Preferred Registration Rights Agreement, dated June  9, 2026, by and between Jaguar Health, Inc. and the Investors named therein (incorporated by reference to Exhibit 10.4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10.133</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9">
              <w:r>
                <w:rPr>
                  <w:rStyle w:val="InternetLink"/>
                </w:rPr>
                <w:t>Exchange Agreement, dated June 9, 2026, by and between Jaguar Health, Inc. and Streeterville Capital, LLC (incorporated by reference to Exhibit 10.1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0">
              <w:r>
                <w:rPr>
                  <w:rStyle w:val="InternetLink"/>
                </w:rPr>
                <w:t>Exchange Agreement, dated June 17, 2026, by and between Jaguar Health, Inc. and Streeterville Capital, LLC (incorporated by reference to Exhibit 10.2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1">
              <w:r>
                <w:rPr>
                  <w:rStyle w:val="InternetLink"/>
                </w:rPr>
                <w:t>Exchange Agreement, dated June 18, 2026, by and between Jaguar Health, Inc. and Streeterville Capital, LLC (incorporated by reference to Exhibit 10.3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2">
              <w:r>
                <w:rPr>
                  <w:rStyle w:val="InternetLink"/>
                </w:rPr>
                <w:t>First Amendment to Manufacturing and Supply Agreement, dated as of June 22, 2026, by and among Napo Pharmaceuticals, Inc., Jaguar Health, Inc., and Woodward Specialty LLC (incorporated by reference to Exhibit 10.1 to the Form 8-K filed June 25,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3">
              <w:r>
                <w:rPr>
                  <w:rStyle w:val="InternetLink"/>
                </w:rPr>
                <w:t xml:space="preserve">Manufacturing and Supply Agreement, dated July 9, 2026, by and between Napo Pharmaceuticals, Inc. and Alivus Life Sciences Limited (incorporated by reference to Exhibit 10.1 to the Form 8-K filed July 14,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21.1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4">
              <w:r>
                <w:rPr>
                  <w:rStyle w:val="InternetLink"/>
                </w:rPr>
                <w:t>Subsidiaries of the Registrant (incorporated by reference to Exhibit 21.1 to the Form 10-K filed April 7,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231.htm">
              <w:r>
                <w:rPr>
                  <w:rStyle w:val="InternetLink"/>
                </w:rPr>
                <w:t>Consent of RBSM LLP, Independent Registered Public Accounting Firm.</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51.htm">
              <w:r>
                <w:rPr>
                  <w:rStyle w:val="InternetLink"/>
                </w:rPr>
                <w:t xml:space="preserve">Consent of Reed Smith LLP (contained in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63"/>
        <w:gridCol w:w="887"/>
        <w:gridCol w:w="8455"/>
      </w:tblGrid>
      <w:tr>
        <w:trPr/>
        <w:tc>
          <w:tcPr>
            <w:tcW w:w="863" w:type="dxa"/>
            <w:tcBorders/>
            <w:vAlign w:val="center"/>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845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887" w:type="dxa"/>
            <w:tcBorders/>
            <w:vAlign w:val="bottom"/>
          </w:tcPr>
          <w:p>
            <w:pPr>
              <w:pStyle w:val="TableContents"/>
              <w:bidi w:val="0"/>
              <w:spacing w:before="0" w:after="283"/>
              <w:jc w:val="left"/>
              <w:rPr/>
            </w:pPr>
            <w:r>
              <w:rPr/>
              <w:t>  </w:t>
            </w:r>
          </w:p>
        </w:tc>
        <w:tc>
          <w:tcPr>
            <w:tcW w:w="84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24.1**</w:t>
            </w:r>
          </w:p>
        </w:tc>
        <w:tc>
          <w:tcPr>
            <w:tcW w:w="887"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275">
              <w:r>
                <w:rPr>
                  <w:rStyle w:val="InternetLink"/>
                </w:rPr>
                <w:t xml:space="preserve">Power of Attorney </w:t>
              </w:r>
            </w:hyperlink>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107*</w:t>
            </w:r>
          </w:p>
        </w:tc>
        <w:tc>
          <w:tcPr>
            <w:tcW w:w="887"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w:anchor="d47881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granted as to portions of the exhibit. Confidential materials omitted and filed separately with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 of Regulation S-K promulgated under the Securities Act because the information (i) is not material and (ii) would be competitively harmful if publicly disclosed.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San Francisco, State of California on July 24,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06"/>
        <w:gridCol w:w="121"/>
        <w:gridCol w:w="5373"/>
        <w:gridCol w:w="203"/>
        <w:gridCol w:w="2002"/>
      </w:tblGrid>
      <w:tr>
        <w:trPr/>
        <w:tc>
          <w:tcPr>
            <w:tcW w:w="25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bottom"/>
          </w:tcPr>
          <w:p>
            <w:pPr>
              <w:pStyle w:val="TableContents"/>
              <w:bidi w:val="0"/>
              <w:spacing w:before="0" w:after="283"/>
              <w:jc w:val="center"/>
              <w:rPr>
                <w:b/>
              </w:rPr>
            </w:pPr>
            <w:r>
              <w:rPr>
                <w:b/>
              </w:rPr>
              <w:t>Signature</w:t>
            </w:r>
          </w:p>
        </w:tc>
        <w:tc>
          <w:tcPr>
            <w:tcW w:w="121" w:type="dxa"/>
            <w:tcBorders/>
            <w:vAlign w:val="bottom"/>
          </w:tcPr>
          <w:p>
            <w:pPr>
              <w:pStyle w:val="TableContents"/>
              <w:bidi w:val="0"/>
              <w:spacing w:before="0" w:after="283"/>
              <w:jc w:val="left"/>
              <w:rPr/>
            </w:pPr>
            <w:r>
              <w:rPr/>
              <w:t>  </w:t>
            </w:r>
          </w:p>
        </w:tc>
        <w:tc>
          <w:tcPr>
            <w:tcW w:w="5373"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center"/>
              <w:rPr>
                <w:b/>
              </w:rPr>
            </w:pPr>
            <w:r>
              <w:rPr>
                <w:b/>
              </w:rPr>
              <w:t>Date</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Lisa A. Conte</w:t>
            </w:r>
          </w:p>
          <w:p>
            <w:pPr>
              <w:pStyle w:val="TableContents"/>
              <w:bidi w:val="0"/>
              <w:spacing w:before="0" w:after="20"/>
              <w:jc w:val="left"/>
              <w:rPr>
                <w:rFonts w:ascii="Times New Roman" w:hAnsi="Times New Roman"/>
                <w:sz w:val="20"/>
              </w:rPr>
            </w:pPr>
            <w:r>
              <w:rPr>
                <w:rFonts w:ascii="Times New Roman" w:hAnsi="Times New Roman"/>
                <w:sz w:val="20"/>
              </w:rPr>
              <w:t>Lisa A. Conte</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Chief Executive Officer, President and Director</w:t>
              <w:br/>
              <w:t>(Principal Executive Officer)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Lizak</w:t>
            </w:r>
          </w:p>
          <w:p>
            <w:pPr>
              <w:pStyle w:val="TableContents"/>
              <w:bidi w:val="0"/>
              <w:spacing w:before="0" w:after="20"/>
              <w:jc w:val="left"/>
              <w:rPr>
                <w:rFonts w:ascii="Times New Roman" w:hAnsi="Times New Roman"/>
                <w:sz w:val="20"/>
              </w:rPr>
            </w:pPr>
            <w:r>
              <w:rPr>
                <w:rFonts w:ascii="Times New Roman" w:hAnsi="Times New Roman"/>
                <w:sz w:val="20"/>
              </w:rPr>
              <w:t>Carol Lizak</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Chief Financial Officer and Treasurer</w:t>
              <w:br/>
              <w:t>(Principal Financial and Accounting Officer)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J. Bochnowski</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Chairman of the Board</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John Micek III</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Jonathan B. Siegel</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Anula Jayasuriya</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24,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left"/>
              <w:rPr/>
            </w:pPr>
            <w:r>
              <w:rPr/>
              <w:t>/s/ Lisa A. Conte</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II-27 </w:t>
      </w:r>
    </w:p>
    <w:p>
      <w:pPr>
        <w:pStyle w:val="TextBody"/>
        <w:bidi w:val="0"/>
        <w:spacing w:before="0" w:after="0"/>
        <w:jc w:val="right"/>
        <w:rPr>
          <w:rFonts w:ascii="Times New Roman" w:hAnsi="Times New Roman"/>
          <w:b/>
          <w:sz w:val="20"/>
        </w:rPr>
      </w:pPr>
      <w:bookmarkStart w:id="18" w:name="d47881dex51.htm"/>
      <w:bookmarkStart w:id="19" w:name="ksd47881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1"/>
        <w:gridCol w:w="120"/>
        <w:gridCol w:w="4834"/>
      </w:tblGrid>
      <w:tr>
        <w:trPr/>
        <w:tc>
          <w:tcPr>
            <w:tcW w:w="5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283"/>
              <w:jc w:val="left"/>
              <w:rPr/>
            </w:pPr>
            <w:r>
              <w:rPr/>
              <w:drawing>
                <wp:inline distT="0" distB="0" distL="0" distR="0">
                  <wp:extent cx="1162050"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6"/>
                          <a:stretch>
                            <a:fillRect/>
                          </a:stretch>
                        </pic:blipFill>
                        <pic:spPr bwMode="auto">
                          <a:xfrm>
                            <a:off x="0" y="0"/>
                            <a:ext cx="1162050" cy="2095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34" w:type="dxa"/>
            <w:tcBorders/>
          </w:tcPr>
          <w:p>
            <w:pPr>
              <w:pStyle w:val="TableContents"/>
              <w:bidi w:val="0"/>
              <w:spacing w:before="0" w:after="0"/>
              <w:jc w:val="right"/>
              <w:rPr>
                <w:rFonts w:ascii="Times New Roman" w:hAnsi="Times New Roman"/>
                <w:sz w:val="20"/>
              </w:rPr>
            </w:pPr>
            <w:r>
              <w:rPr>
                <w:rFonts w:ascii="Times New Roman" w:hAnsi="Times New Roman"/>
                <w:sz w:val="20"/>
              </w:rPr>
              <w:t>Reed Smith LLP</w:t>
            </w:r>
          </w:p>
          <w:p>
            <w:pPr>
              <w:pStyle w:val="TableContents"/>
              <w:bidi w:val="0"/>
              <w:spacing w:before="0" w:after="0"/>
              <w:jc w:val="right"/>
              <w:rPr>
                <w:rFonts w:ascii="Times New Roman" w:hAnsi="Times New Roman"/>
                <w:sz w:val="20"/>
              </w:rPr>
            </w:pPr>
            <w:r>
              <w:rPr>
                <w:rFonts w:ascii="Times New Roman" w:hAnsi="Times New Roman"/>
                <w:sz w:val="20"/>
              </w:rPr>
              <w:t>1841 Page Mill Road</w:t>
            </w:r>
          </w:p>
          <w:p>
            <w:pPr>
              <w:pStyle w:val="TableContents"/>
              <w:bidi w:val="0"/>
              <w:spacing w:before="0" w:after="0"/>
              <w:jc w:val="right"/>
              <w:rPr>
                <w:rFonts w:ascii="Times New Roman" w:hAnsi="Times New Roman"/>
                <w:sz w:val="20"/>
              </w:rPr>
            </w:pPr>
            <w:r>
              <w:rPr>
                <w:rFonts w:ascii="Times New Roman" w:hAnsi="Times New Roman"/>
                <w:sz w:val="20"/>
              </w:rPr>
              <w:t>Suite 110</w:t>
            </w:r>
          </w:p>
          <w:p>
            <w:pPr>
              <w:pStyle w:val="TableContents"/>
              <w:bidi w:val="0"/>
              <w:spacing w:before="0" w:after="0"/>
              <w:jc w:val="right"/>
              <w:rPr>
                <w:rFonts w:ascii="Times New Roman" w:hAnsi="Times New Roman"/>
                <w:sz w:val="20"/>
              </w:rPr>
            </w:pPr>
            <w:r>
              <w:rPr>
                <w:rFonts w:ascii="Times New Roman" w:hAnsi="Times New Roman"/>
                <w:sz w:val="20"/>
              </w:rPr>
              <w:t>Palo Alto, CA 94304</w:t>
            </w:r>
          </w:p>
          <w:p>
            <w:pPr>
              <w:pStyle w:val="TableContents"/>
              <w:bidi w:val="0"/>
              <w:spacing w:before="0" w:after="0"/>
              <w:jc w:val="right"/>
              <w:rPr>
                <w:rFonts w:ascii="Times New Roman" w:hAnsi="Times New Roman"/>
                <w:sz w:val="20"/>
              </w:rPr>
            </w:pPr>
            <w:r>
              <w:rPr>
                <w:rFonts w:ascii="Times New Roman" w:hAnsi="Times New Roman"/>
                <w:sz w:val="20"/>
              </w:rPr>
              <w:t>+1 650 352 0500</w:t>
            </w:r>
          </w:p>
          <w:p>
            <w:pPr>
              <w:pStyle w:val="TableContents"/>
              <w:bidi w:val="0"/>
              <w:spacing w:before="0" w:after="0"/>
              <w:jc w:val="right"/>
              <w:rPr>
                <w:rFonts w:ascii="Times New Roman" w:hAnsi="Times New Roman"/>
                <w:sz w:val="20"/>
              </w:rPr>
            </w:pPr>
            <w:r>
              <w:rPr>
                <w:rFonts w:ascii="Times New Roman" w:hAnsi="Times New Roman"/>
                <w:sz w:val="20"/>
              </w:rPr>
              <w:t>Fax +1 650 352 0699</w:t>
            </w:r>
          </w:p>
          <w:p>
            <w:pPr>
              <w:pStyle w:val="TableContents"/>
              <w:bidi w:val="0"/>
              <w:spacing w:before="0" w:after="20"/>
              <w:jc w:val="right"/>
              <w:rPr>
                <w:rFonts w:ascii="Times New Roman" w:hAnsi="Times New Roman"/>
                <w:sz w:val="20"/>
              </w:rPr>
            </w:pPr>
            <w:r>
              <w:rPr>
                <w:rFonts w:ascii="Times New Roman" w:hAnsi="Times New Roman"/>
                <w:sz w:val="20"/>
              </w:rPr>
              <w:t>reedsmith.com</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Jaguar Health, Inc. </w:t>
      </w:r>
    </w:p>
    <w:p>
      <w:pPr>
        <w:pStyle w:val="TextBody"/>
        <w:bidi w:val="0"/>
        <w:spacing w:before="0" w:after="0"/>
        <w:jc w:val="left"/>
        <w:rPr>
          <w:rFonts w:ascii="Times New Roman" w:hAnsi="Times New Roman"/>
          <w:sz w:val="20"/>
        </w:rPr>
      </w:pPr>
      <w:r>
        <w:rPr>
          <w:rFonts w:ascii="Times New Roman" w:hAnsi="Times New Roman"/>
          <w:sz w:val="20"/>
        </w:rPr>
        <w:t xml:space="preserve">200 Pine Street, Suite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94014 </w:t>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opinion is furnished to you in connection with the Registration Statement on Form S-1 (File No. 333-297489) filed by Jaguar Health, Inc., a Delaware corporation (the “</w:t>
      </w:r>
      <w:r>
        <w:rPr>
          <w:rFonts w:ascii="Times New Roman" w:hAnsi="Times New Roman"/>
          <w:sz w:val="20"/>
          <w:u w:val="single"/>
        </w:rPr>
        <w:t>Company</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July 16, 2026, as amended by Pre-Effective Amendment No. 1, filed with the Commission on the date hereof (as amended, the “</w:t>
      </w:r>
      <w:r>
        <w:rPr>
          <w:rFonts w:ascii="Times New Roman" w:hAnsi="Times New Roman"/>
          <w:sz w:val="20"/>
          <w:u w:val="single"/>
        </w:rPr>
        <w:t>Registration Statement</w:t>
      </w:r>
      <w:r>
        <w:rPr>
          <w:rFonts w:ascii="Times New Roman" w:hAnsi="Times New Roman"/>
          <w:sz w:val="20"/>
        </w:rPr>
        <w:t>”), in connection with the registration under the Securities Act of 1933, as amended (the “</w:t>
      </w:r>
      <w:r>
        <w:rPr>
          <w:rFonts w:ascii="Times New Roman" w:hAnsi="Times New Roman"/>
          <w:i/>
          <w:sz w:val="20"/>
        </w:rPr>
        <w:t>Securities Act</w:t>
      </w:r>
      <w:r>
        <w:rPr>
          <w:rFonts w:ascii="Times New Roman" w:hAnsi="Times New Roman"/>
          <w:sz w:val="20"/>
        </w:rPr>
        <w:t>”), for resale by the selling stockholder named in the Registration Statement (the “</w:t>
      </w:r>
      <w:r>
        <w:rPr>
          <w:rFonts w:ascii="Times New Roman" w:hAnsi="Times New Roman"/>
          <w:sz w:val="20"/>
          <w:u w:val="single"/>
        </w:rPr>
        <w:t>Selling Stockholder</w:t>
      </w:r>
      <w:r>
        <w:rPr>
          <w:rFonts w:ascii="Times New Roman" w:hAnsi="Times New Roman"/>
          <w:sz w:val="20"/>
        </w:rPr>
        <w:t>”) of up to 41,000,000 shares of the Company’s voting common stock, par value $0.0001 per share (the “</w:t>
      </w:r>
      <w:r>
        <w:rPr>
          <w:rFonts w:ascii="Times New Roman" w:hAnsi="Times New Roman"/>
          <w:sz w:val="20"/>
          <w:u w:val="single"/>
        </w:rPr>
        <w:t>Common Stock</w:t>
      </w:r>
      <w:r>
        <w:rPr>
          <w:rFonts w:ascii="Times New Roman" w:hAnsi="Times New Roman"/>
          <w:sz w:val="20"/>
        </w:rPr>
        <w:t>”). Such shares of Common Stock consist of: (i) up to 40,000,000 shares of Common Stock (the “</w:t>
      </w:r>
      <w:r>
        <w:rPr>
          <w:rFonts w:ascii="Times New Roman" w:hAnsi="Times New Roman"/>
          <w:sz w:val="20"/>
          <w:u w:val="single"/>
        </w:rPr>
        <w:t>Purchase Shares</w:t>
      </w:r>
      <w:r>
        <w:rPr>
          <w:rFonts w:ascii="Times New Roman" w:hAnsi="Times New Roman"/>
          <w:sz w:val="20"/>
        </w:rPr>
        <w:t>”) that the Company may elect, in its sole discretion, to issue and sell to the Selling Stockholder from time to time pursuant to that certain common stock purchase agreement, dated as of June 9, 2026, by and between the Company and the Selling Stockholder (the “</w:t>
      </w:r>
      <w:r>
        <w:rPr>
          <w:rFonts w:ascii="Times New Roman" w:hAnsi="Times New Roman"/>
          <w:sz w:val="20"/>
          <w:u w:val="single"/>
        </w:rPr>
        <w:t>Purchase Agreement</w:t>
      </w:r>
      <w:r>
        <w:rPr>
          <w:rFonts w:ascii="Times New Roman" w:hAnsi="Times New Roman"/>
          <w:sz w:val="20"/>
        </w:rPr>
        <w:t>”), and (ii) up to 1,000,000 shares of Common Stock (the “</w:t>
      </w:r>
      <w:r>
        <w:rPr>
          <w:rFonts w:ascii="Times New Roman" w:hAnsi="Times New Roman"/>
          <w:sz w:val="20"/>
          <w:u w:val="single"/>
        </w:rPr>
        <w:t>Commitment Shares</w:t>
      </w:r>
      <w:r>
        <w:rPr>
          <w:rFonts w:ascii="Times New Roman" w:hAnsi="Times New Roman"/>
          <w:sz w:val="20"/>
        </w:rPr>
        <w:t xml:space="preserve">”) issuable to the Selling Stockholder as consideration for the Selling Stockholder’s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herein, we have examined originals or copies, certified or otherwise identified to our satisfaction, of such documents, corporate records, certificates of public officials and other instruments as we have deemed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solely on the General Corporation Law of the State of Delaware (including all related provisions of the Delaware Constitution and all reported judicial decisions interpreting the General Corporation Law of the State of Delaware and the Delaware Constitution).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(i) the Purchase Shares have been duly authorized for issuance and, when issued against payment therefor in accordance with the terms of the Purchase Agreement, the Purchase Shares will be validly issued, fully paid, and nonassessable, and (ii) the Commitment Shares have been duly authorized for issuance and, when issued in accordance with the terms of the Purchase Agreement, the Commitment Shares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14"/>
        </w:rPr>
      </w:pPr>
      <w:r>
        <w:rPr>
          <w:rFonts w:ascii="Times New Roman" w:hAnsi="Times New Roman"/>
          <w:b/>
          <w:sz w:val="14"/>
        </w:rPr>
        <w:t xml:space="preserve">ABU DHABI </w:t>
      </w:r>
      <w:r>
        <w:rPr>
          <w:rFonts w:ascii="Times New Roman" w:hAnsi="Times New Roman"/>
          <w:sz w:val="14"/>
        </w:rPr>
        <w:t xml:space="preserve">◆ </w:t>
      </w:r>
      <w:r>
        <w:rPr>
          <w:rFonts w:ascii="Times New Roman" w:hAnsi="Times New Roman"/>
          <w:b/>
          <w:sz w:val="14"/>
        </w:rPr>
        <w:t xml:space="preserve">ASTANA </w:t>
      </w:r>
      <w:r>
        <w:rPr>
          <w:rFonts w:ascii="Times New Roman" w:hAnsi="Times New Roman"/>
          <w:sz w:val="14"/>
        </w:rPr>
        <w:t xml:space="preserve">◆ </w:t>
      </w:r>
      <w:r>
        <w:rPr>
          <w:rFonts w:ascii="Times New Roman" w:hAnsi="Times New Roman"/>
          <w:b/>
          <w:sz w:val="14"/>
        </w:rPr>
        <w:t xml:space="preserve">ATHENS </w:t>
      </w:r>
      <w:r>
        <w:rPr>
          <w:rFonts w:ascii="Times New Roman" w:hAnsi="Times New Roman"/>
          <w:sz w:val="14"/>
        </w:rPr>
        <w:t xml:space="preserve">◆ </w:t>
      </w:r>
      <w:r>
        <w:rPr>
          <w:rFonts w:ascii="Times New Roman" w:hAnsi="Times New Roman"/>
          <w:b/>
          <w:sz w:val="14"/>
        </w:rPr>
        <w:t xml:space="preserve">ATLANTA </w:t>
      </w:r>
      <w:r>
        <w:rPr>
          <w:rFonts w:ascii="Times New Roman" w:hAnsi="Times New Roman"/>
          <w:sz w:val="14"/>
        </w:rPr>
        <w:t xml:space="preserve">◆ </w:t>
      </w:r>
      <w:r>
        <w:rPr>
          <w:rFonts w:ascii="Times New Roman" w:hAnsi="Times New Roman"/>
          <w:b/>
          <w:sz w:val="14"/>
        </w:rPr>
        <w:t xml:space="preserve">AUSTIN </w:t>
      </w:r>
      <w:r>
        <w:rPr>
          <w:rFonts w:ascii="Times New Roman" w:hAnsi="Times New Roman"/>
          <w:sz w:val="14"/>
        </w:rPr>
        <w:t xml:space="preserve">◆ </w:t>
      </w:r>
      <w:r>
        <w:rPr>
          <w:rFonts w:ascii="Times New Roman" w:hAnsi="Times New Roman"/>
          <w:b/>
          <w:sz w:val="14"/>
        </w:rPr>
        <w:t xml:space="preserve">BOSTON </w:t>
      </w:r>
      <w:r>
        <w:rPr>
          <w:rFonts w:ascii="Times New Roman" w:hAnsi="Times New Roman"/>
          <w:sz w:val="14"/>
        </w:rPr>
        <w:t xml:space="preserve">◆ </w:t>
      </w:r>
      <w:r>
        <w:rPr>
          <w:rFonts w:ascii="Times New Roman" w:hAnsi="Times New Roman"/>
          <w:b/>
          <w:sz w:val="14"/>
        </w:rPr>
        <w:t xml:space="preserve">BRUSSELS </w:t>
      </w:r>
      <w:r>
        <w:rPr>
          <w:rFonts w:ascii="Times New Roman" w:hAnsi="Times New Roman"/>
          <w:sz w:val="14"/>
        </w:rPr>
        <w:t xml:space="preserve">◆ </w:t>
      </w:r>
      <w:r>
        <w:rPr>
          <w:rFonts w:ascii="Times New Roman" w:hAnsi="Times New Roman"/>
          <w:b/>
          <w:sz w:val="14"/>
        </w:rPr>
        <w:t xml:space="preserve">CENTURY CITY </w:t>
      </w:r>
      <w:r>
        <w:rPr>
          <w:rFonts w:ascii="Times New Roman" w:hAnsi="Times New Roman"/>
          <w:sz w:val="14"/>
        </w:rPr>
        <w:t xml:space="preserve">◆ </w:t>
      </w:r>
      <w:r>
        <w:rPr>
          <w:rFonts w:ascii="Times New Roman" w:hAnsi="Times New Roman"/>
          <w:b/>
          <w:sz w:val="14"/>
        </w:rPr>
        <w:t xml:space="preserve">CHICAGO </w:t>
      </w:r>
      <w:r>
        <w:rPr>
          <w:rFonts w:ascii="Times New Roman" w:hAnsi="Times New Roman"/>
          <w:sz w:val="14"/>
        </w:rPr>
        <w:t xml:space="preserve">◆ </w:t>
      </w:r>
      <w:r>
        <w:rPr>
          <w:rFonts w:ascii="Times New Roman" w:hAnsi="Times New Roman"/>
          <w:b/>
          <w:sz w:val="14"/>
        </w:rPr>
        <w:t xml:space="preserve">DALLAS </w:t>
      </w:r>
      <w:r>
        <w:rPr>
          <w:rFonts w:ascii="Times New Roman" w:hAnsi="Times New Roman"/>
          <w:sz w:val="14"/>
        </w:rPr>
        <w:t xml:space="preserve">◆ </w:t>
      </w:r>
      <w:r>
        <w:rPr>
          <w:rFonts w:ascii="Times New Roman" w:hAnsi="Times New Roman"/>
          <w:b/>
          <w:sz w:val="14"/>
        </w:rPr>
        <w:t xml:space="preserve">DENVER </w:t>
      </w:r>
      <w:r>
        <w:rPr>
          <w:rFonts w:ascii="Times New Roman" w:hAnsi="Times New Roman"/>
          <w:sz w:val="14"/>
        </w:rPr>
        <w:t xml:space="preserve">◆ </w:t>
      </w:r>
      <w:r>
        <w:rPr>
          <w:rFonts w:ascii="Times New Roman" w:hAnsi="Times New Roman"/>
          <w:b/>
          <w:sz w:val="14"/>
        </w:rPr>
        <w:t xml:space="preserve">DUBAI </w:t>
      </w:r>
      <w:r>
        <w:rPr>
          <w:rFonts w:ascii="Times New Roman" w:hAnsi="Times New Roman"/>
          <w:sz w:val="14"/>
        </w:rPr>
        <w:t xml:space="preserve">◆ </w:t>
      </w:r>
      <w:r>
        <w:rPr>
          <w:rFonts w:ascii="Times New Roman" w:hAnsi="Times New Roman"/>
          <w:b/>
          <w:sz w:val="14"/>
        </w:rPr>
        <w:t xml:space="preserve">FRANKFURT HONG KONG </w:t>
      </w:r>
      <w:r>
        <w:rPr>
          <w:rFonts w:ascii="Times New Roman" w:hAnsi="Times New Roman"/>
          <w:sz w:val="14"/>
        </w:rPr>
        <w:t xml:space="preserve">◆ </w:t>
      </w:r>
      <w:r>
        <w:rPr>
          <w:rFonts w:ascii="Times New Roman" w:hAnsi="Times New Roman"/>
          <w:b/>
          <w:sz w:val="14"/>
        </w:rPr>
        <w:t xml:space="preserve">HOUSTON </w:t>
      </w:r>
      <w:r>
        <w:rPr>
          <w:rFonts w:ascii="Times New Roman" w:hAnsi="Times New Roman"/>
          <w:sz w:val="14"/>
        </w:rPr>
        <w:t xml:space="preserve">◆ </w:t>
      </w:r>
      <w:r>
        <w:rPr>
          <w:rFonts w:ascii="Times New Roman" w:hAnsi="Times New Roman"/>
          <w:b/>
          <w:sz w:val="14"/>
        </w:rPr>
        <w:t xml:space="preserve">LONDON </w:t>
      </w:r>
      <w:r>
        <w:rPr>
          <w:rFonts w:ascii="Times New Roman" w:hAnsi="Times New Roman"/>
          <w:sz w:val="14"/>
        </w:rPr>
        <w:t xml:space="preserve">◆ </w:t>
      </w:r>
      <w:r>
        <w:rPr>
          <w:rFonts w:ascii="Times New Roman" w:hAnsi="Times New Roman"/>
          <w:b/>
          <w:sz w:val="14"/>
        </w:rPr>
        <w:t xml:space="preserve">LOS ANGELES </w:t>
      </w:r>
      <w:r>
        <w:rPr>
          <w:rFonts w:ascii="Times New Roman" w:hAnsi="Times New Roman"/>
          <w:sz w:val="14"/>
        </w:rPr>
        <w:t xml:space="preserve">◆ </w:t>
      </w:r>
      <w:r>
        <w:rPr>
          <w:rFonts w:ascii="Times New Roman" w:hAnsi="Times New Roman"/>
          <w:b/>
          <w:sz w:val="14"/>
        </w:rPr>
        <w:t xml:space="preserve">MIAMI </w:t>
      </w:r>
      <w:r>
        <w:rPr>
          <w:rFonts w:ascii="Times New Roman" w:hAnsi="Times New Roman"/>
          <w:sz w:val="14"/>
        </w:rPr>
        <w:t xml:space="preserve">◆ </w:t>
      </w:r>
      <w:r>
        <w:rPr>
          <w:rFonts w:ascii="Times New Roman" w:hAnsi="Times New Roman"/>
          <w:b/>
          <w:sz w:val="14"/>
        </w:rPr>
        <w:t xml:space="preserve">MUNICH </w:t>
      </w:r>
      <w:r>
        <w:rPr>
          <w:rFonts w:ascii="Times New Roman" w:hAnsi="Times New Roman"/>
          <w:sz w:val="14"/>
        </w:rPr>
        <w:t xml:space="preserve">◆ </w:t>
      </w:r>
      <w:r>
        <w:rPr>
          <w:rFonts w:ascii="Times New Roman" w:hAnsi="Times New Roman"/>
          <w:b/>
          <w:sz w:val="14"/>
        </w:rPr>
        <w:t xml:space="preserve">NEW YORK </w:t>
      </w:r>
      <w:r>
        <w:rPr>
          <w:rFonts w:ascii="Times New Roman" w:hAnsi="Times New Roman"/>
          <w:sz w:val="14"/>
        </w:rPr>
        <w:t xml:space="preserve">◆ </w:t>
      </w:r>
      <w:r>
        <w:rPr>
          <w:rFonts w:ascii="Times New Roman" w:hAnsi="Times New Roman"/>
          <w:b/>
          <w:sz w:val="14"/>
        </w:rPr>
        <w:t xml:space="preserve">ORANGE COUNTY </w:t>
      </w:r>
      <w:r>
        <w:rPr>
          <w:rFonts w:ascii="Times New Roman" w:hAnsi="Times New Roman"/>
          <w:sz w:val="14"/>
        </w:rPr>
        <w:t xml:space="preserve">◆ </w:t>
      </w:r>
      <w:r>
        <w:rPr>
          <w:rFonts w:ascii="Times New Roman" w:hAnsi="Times New Roman"/>
          <w:b/>
          <w:sz w:val="14"/>
        </w:rPr>
        <w:t xml:space="preserve">PARIS </w:t>
      </w:r>
      <w:r>
        <w:rPr>
          <w:rFonts w:ascii="Times New Roman" w:hAnsi="Times New Roman"/>
          <w:sz w:val="14"/>
        </w:rPr>
        <w:t xml:space="preserve">◆ </w:t>
      </w:r>
      <w:r>
        <w:rPr>
          <w:rFonts w:ascii="Times New Roman" w:hAnsi="Times New Roman"/>
          <w:b/>
          <w:sz w:val="14"/>
        </w:rPr>
        <w:t xml:space="preserve">PHILADELPHIA </w:t>
      </w:r>
      <w:r>
        <w:rPr>
          <w:rFonts w:ascii="Times New Roman" w:hAnsi="Times New Roman"/>
          <w:sz w:val="14"/>
        </w:rPr>
        <w:t xml:space="preserve">◆ </w:t>
      </w:r>
      <w:r>
        <w:rPr>
          <w:rFonts w:ascii="Times New Roman" w:hAnsi="Times New Roman"/>
          <w:b/>
          <w:sz w:val="14"/>
        </w:rPr>
        <w:t xml:space="preserve">PITTSBURGH </w:t>
      </w:r>
    </w:p>
    <w:p>
      <w:pPr>
        <w:pStyle w:val="TextBody"/>
        <w:bidi w:val="0"/>
        <w:spacing w:before="0" w:after="0"/>
        <w:jc w:val="center"/>
        <w:rPr>
          <w:rFonts w:ascii="Times New Roman" w:hAnsi="Times New Roman"/>
          <w:sz w:val="14"/>
        </w:rPr>
      </w:pPr>
      <w:r>
        <w:rPr>
          <w:rFonts w:ascii="Times New Roman" w:hAnsi="Times New Roman"/>
          <w:b/>
          <w:sz w:val="14"/>
        </w:rPr>
        <w:t xml:space="preserve">PRINCETON </w:t>
      </w:r>
      <w:r>
        <w:rPr>
          <w:rFonts w:ascii="Times New Roman" w:hAnsi="Times New Roman"/>
          <w:sz w:val="14"/>
        </w:rPr>
        <w:t xml:space="preserve">◆ </w:t>
      </w:r>
      <w:r>
        <w:rPr>
          <w:rFonts w:ascii="Times New Roman" w:hAnsi="Times New Roman"/>
          <w:b/>
          <w:sz w:val="14"/>
        </w:rPr>
        <w:t xml:space="preserve">RICHMOND </w:t>
      </w:r>
      <w:r>
        <w:rPr>
          <w:rFonts w:ascii="Times New Roman" w:hAnsi="Times New Roman"/>
          <w:sz w:val="14"/>
        </w:rPr>
        <w:t xml:space="preserve">◆ </w:t>
      </w:r>
      <w:r>
        <w:rPr>
          <w:rFonts w:ascii="Times New Roman" w:hAnsi="Times New Roman"/>
          <w:b/>
          <w:sz w:val="14"/>
        </w:rPr>
        <w:t xml:space="preserve">RIYADH </w:t>
      </w:r>
      <w:r>
        <w:rPr>
          <w:rFonts w:ascii="Times New Roman" w:hAnsi="Times New Roman"/>
          <w:sz w:val="14"/>
        </w:rPr>
        <w:t xml:space="preserve">◆ </w:t>
      </w:r>
      <w:r>
        <w:rPr>
          <w:rFonts w:ascii="Times New Roman" w:hAnsi="Times New Roman"/>
          <w:b/>
          <w:sz w:val="14"/>
        </w:rPr>
        <w:t xml:space="preserve">SAN FRANCISCO </w:t>
      </w:r>
      <w:r>
        <w:rPr>
          <w:rFonts w:ascii="Times New Roman" w:hAnsi="Times New Roman"/>
          <w:sz w:val="14"/>
        </w:rPr>
        <w:t xml:space="preserve">◆ </w:t>
      </w:r>
      <w:r>
        <w:rPr>
          <w:rFonts w:ascii="Times New Roman" w:hAnsi="Times New Roman"/>
          <w:b/>
          <w:sz w:val="14"/>
        </w:rPr>
        <w:t xml:space="preserve">SHANGHAI </w:t>
      </w:r>
      <w:r>
        <w:rPr>
          <w:rFonts w:ascii="Times New Roman" w:hAnsi="Times New Roman"/>
          <w:sz w:val="14"/>
        </w:rPr>
        <w:t xml:space="preserve">◆ </w:t>
      </w:r>
      <w:r>
        <w:rPr>
          <w:rFonts w:ascii="Times New Roman" w:hAnsi="Times New Roman"/>
          <w:b/>
          <w:sz w:val="14"/>
        </w:rPr>
        <w:t xml:space="preserve">SILICON VALLEY </w:t>
      </w:r>
      <w:r>
        <w:rPr>
          <w:rFonts w:ascii="Times New Roman" w:hAnsi="Times New Roman"/>
          <w:sz w:val="14"/>
        </w:rPr>
        <w:t xml:space="preserve">◆ </w:t>
      </w:r>
      <w:r>
        <w:rPr>
          <w:rFonts w:ascii="Times New Roman" w:hAnsi="Times New Roman"/>
          <w:b/>
          <w:sz w:val="14"/>
        </w:rPr>
        <w:t xml:space="preserve">SINGAPORE </w:t>
      </w:r>
      <w:r>
        <w:rPr>
          <w:rFonts w:ascii="Times New Roman" w:hAnsi="Times New Roman"/>
          <w:sz w:val="14"/>
        </w:rPr>
        <w:t xml:space="preserve">◆ </w:t>
      </w:r>
      <w:r>
        <w:rPr>
          <w:rFonts w:ascii="Times New Roman" w:hAnsi="Times New Roman"/>
          <w:b/>
          <w:sz w:val="14"/>
        </w:rPr>
        <w:t xml:space="preserve">TYSONS </w:t>
      </w:r>
      <w:r>
        <w:rPr>
          <w:rFonts w:ascii="Times New Roman" w:hAnsi="Times New Roman"/>
          <w:sz w:val="14"/>
        </w:rPr>
        <w:t xml:space="preserve">◆ </w:t>
      </w:r>
      <w:r>
        <w:rPr>
          <w:rFonts w:ascii="Times New Roman" w:hAnsi="Times New Roman"/>
          <w:b/>
          <w:sz w:val="14"/>
        </w:rPr>
        <w:t xml:space="preserve">WASHINGTON, D.C. </w:t>
      </w:r>
      <w:r>
        <w:rPr>
          <w:rFonts w:ascii="Times New Roman" w:hAnsi="Times New Roman"/>
          <w:sz w:val="14"/>
        </w:rPr>
        <w:t xml:space="preserve">◆ </w:t>
      </w:r>
      <w:r>
        <w:rPr>
          <w:rFonts w:ascii="Times New Roman" w:hAnsi="Times New Roman"/>
          <w:b/>
          <w:sz w:val="14"/>
        </w:rPr>
        <w:t xml:space="preserve">WILMINGTON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95"/>
        <w:gridCol w:w="121"/>
        <w:gridCol w:w="4989"/>
      </w:tblGrid>
      <w:tr>
        <w:trPr/>
        <w:tc>
          <w:tcPr>
            <w:tcW w:w="50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9" w:type="dxa"/>
            <w:tcBorders/>
            <w:vAlign w:val="center"/>
          </w:tcPr>
          <w:p>
            <w:pPr>
              <w:pStyle w:val="TableContents"/>
              <w:bidi w:val="0"/>
              <w:spacing w:before="0" w:after="283"/>
              <w:jc w:val="left"/>
              <w:rPr>
                <w:sz w:val="4"/>
                <w:szCs w:val="4"/>
              </w:rPr>
            </w:pPr>
            <w:r>
              <w:rPr>
                <w:sz w:val="4"/>
                <w:szCs w:val="4"/>
              </w:rPr>
            </w:r>
          </w:p>
        </w:tc>
      </w:tr>
      <w:tr>
        <w:trPr/>
        <w:tc>
          <w:tcPr>
            <w:tcW w:w="5095" w:type="dxa"/>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p>
            <w:pPr>
              <w:pStyle w:val="TableContents"/>
              <w:bidi w:val="0"/>
              <w:spacing w:before="0" w:after="0"/>
              <w:jc w:val="left"/>
              <w:rPr>
                <w:rFonts w:ascii="Times New Roman" w:hAnsi="Times New Roman"/>
                <w:sz w:val="20"/>
              </w:rPr>
            </w:pPr>
            <w:r>
              <w:rPr>
                <w:rFonts w:ascii="Times New Roman" w:hAnsi="Times New Roman"/>
                <w:sz w:val="20"/>
              </w:rPr>
              <w:t>July 24, 2026</w:t>
            </w:r>
          </w:p>
          <w:p>
            <w:pPr>
              <w:pStyle w:val="TableContents"/>
              <w:bidi w:val="0"/>
              <w:spacing w:before="0" w:after="20"/>
              <w:jc w:val="left"/>
              <w:rPr>
                <w:rFonts w:ascii="Times New Roman" w:hAnsi="Times New Roman"/>
                <w:sz w:val="20"/>
              </w:rPr>
            </w:pPr>
            <w:r>
              <w:rPr>
                <w:rFonts w:ascii="Times New Roman" w:hAnsi="Times New Roman"/>
                <w:sz w:val="20"/>
              </w:rPr>
              <w:t xml:space="preserve">Page 2 </w:t>
            </w:r>
          </w:p>
        </w:tc>
        <w:tc>
          <w:tcPr>
            <w:tcW w:w="121" w:type="dxa"/>
            <w:tcBorders/>
            <w:vAlign w:val="bottom"/>
          </w:tcPr>
          <w:p>
            <w:pPr>
              <w:pStyle w:val="TableContents"/>
              <w:bidi w:val="0"/>
              <w:spacing w:before="0" w:after="283"/>
              <w:jc w:val="left"/>
              <w:rPr/>
            </w:pPr>
            <w:r>
              <w:rPr/>
              <w:t>  </w:t>
            </w:r>
          </w:p>
        </w:tc>
        <w:tc>
          <w:tcPr>
            <w:tcW w:w="4989" w:type="dxa"/>
            <w:tcBorders/>
            <w:vAlign w:val="bottom"/>
          </w:tcPr>
          <w:p>
            <w:pPr>
              <w:pStyle w:val="TableContents"/>
              <w:bidi w:val="0"/>
              <w:spacing w:before="0" w:after="283"/>
              <w:jc w:val="right"/>
              <w:rPr/>
            </w:pPr>
            <w:r>
              <w:rPr/>
              <w:drawing>
                <wp:inline distT="0" distB="0" distL="0" distR="0">
                  <wp:extent cx="981075"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7"/>
                          <a:stretch>
                            <a:fillRect/>
                          </a:stretch>
                        </pic:blipFill>
                        <pic:spPr bwMode="auto">
                          <a:xfrm>
                            <a:off x="0" y="0"/>
                            <a:ext cx="981075" cy="2190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inclusion of this opinion as an exhibit to the Registration Statement and further consent to all references to us under the caption “Legal Matters” in the Prospectus. In giving this consent, we do not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Reed Smith LLP</w:t>
            </w:r>
          </w:p>
        </w:tc>
      </w:tr>
      <w:tr>
        <w:trPr/>
        <w:tc>
          <w:tcPr>
            <w:tcW w:w="4082" w:type="dxa"/>
            <w:tcBorders/>
            <w:vAlign w:val="bottom"/>
          </w:tcPr>
          <w:p>
            <w:pPr>
              <w:pStyle w:val="TableContents"/>
              <w:bidi w:val="0"/>
              <w:spacing w:before="0" w:after="283"/>
              <w:jc w:val="left"/>
              <w:rPr>
                <w:b/>
              </w:rPr>
            </w:pPr>
            <w:r>
              <w:rPr>
                <w:b/>
              </w:rPr>
              <w:t>Reed Smith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Legal Op: </w:t>
      </w:r>
    </w:p>
    <w:p>
      <w:pPr>
        <w:pStyle w:val="TextBody"/>
        <w:bidi w:val="0"/>
        <w:spacing w:before="0" w:after="0"/>
        <w:jc w:val="left"/>
        <w:rPr>
          <w:rFonts w:ascii="Times New Roman" w:hAnsi="Times New Roman"/>
          <w:sz w:val="20"/>
        </w:rPr>
      </w:pPr>
      <w:r>
        <w:rPr>
          <w:rFonts w:ascii="Times New Roman" w:hAnsi="Times New Roman"/>
          <w:sz w:val="20"/>
        </w:rPr>
        <w:t xml:space="preserve">MSL/LD </w:t>
      </w:r>
    </w:p>
    <w:p>
      <w:pPr>
        <w:pStyle w:val="TextBody"/>
        <w:bidi w:val="0"/>
        <w:spacing w:before="0" w:after="0"/>
        <w:jc w:val="right"/>
        <w:rPr>
          <w:rFonts w:ascii="Times New Roman" w:hAnsi="Times New Roman"/>
          <w:b/>
          <w:sz w:val="20"/>
        </w:rPr>
      </w:pPr>
      <w:bookmarkStart w:id="20" w:name="d47881dex231.htm"/>
      <w:bookmarkStart w:id="21" w:name="ksd47881dex231"/>
      <w:bookmarkEnd w:id="20"/>
      <w:bookmarkEnd w:id="21"/>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0507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8"/>
                    <a:stretch>
                      <a:fillRect/>
                    </a:stretch>
                  </pic:blipFill>
                  <pic:spPr bwMode="auto">
                    <a:xfrm>
                      <a:off x="0" y="0"/>
                      <a:ext cx="2505075" cy="67627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Amendment No. 1 of our report dated April 7, 2026 with respect to the audited consolidated financial statements of Jaguar Health, Inc. as of December 31, 2025 and 2024 for each of the two years in the period ended December 31, 2025 which report includes an explanatory paragraph regarding the company’s ability to continue as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references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RBSM LLP </w:t>
      </w:r>
    </w:p>
    <w:p>
      <w:pPr>
        <w:pStyle w:val="TextBody"/>
        <w:bidi w:val="0"/>
        <w:spacing w:before="240" w:after="0"/>
        <w:jc w:val="left"/>
        <w:rPr>
          <w:rFonts w:ascii="Times New Roman" w:hAnsi="Times New Roman"/>
          <w:sz w:val="20"/>
        </w:rPr>
      </w:pPr>
      <w:r>
        <w:rPr>
          <w:rFonts w:ascii="Times New Roman" w:hAnsi="Times New Roman"/>
          <w:sz w:val="20"/>
        </w:rPr>
        <w:t>Larkspur, California</w:t>
      </w:r>
    </w:p>
    <w:p>
      <w:pPr>
        <w:pStyle w:val="TextBody"/>
        <w:bidi w:val="0"/>
        <w:spacing w:before="0" w:after="0"/>
        <w:jc w:val="left"/>
        <w:rPr>
          <w:rFonts w:ascii="Times New Roman" w:hAnsi="Times New Roman"/>
          <w:sz w:val="20"/>
        </w:rPr>
      </w:pPr>
      <w:r>
        <w:rPr>
          <w:rFonts w:ascii="Times New Roman" w:hAnsi="Times New Roman"/>
          <w:sz w:val="20"/>
        </w:rPr>
        <w:t xml:space="preserve">July 24 , 2026 </w:t>
      </w:r>
    </w:p>
    <w:p>
      <w:pPr>
        <w:pStyle w:val="Normal"/>
        <w:bidi w:val="0"/>
        <w:spacing w:before="0" w:after="0"/>
        <w:jc w:val="left"/>
        <w:rPr>
          <w:sz w:val="4"/>
          <w:szCs w:val="4"/>
        </w:rPr>
      </w:pPr>
      <w:r>
        <w:rPr>
          <w:sz w:val="4"/>
          <w:szCs w:val="4"/>
        </w:rPr>
      </w:r>
      <w:bookmarkStart w:id="22" w:name="d47881dexfilingfees.htm"/>
      <w:bookmarkStart w:id="23" w:name="ksd47881dexfilingfees"/>
      <w:bookmarkStart w:id="24" w:name="d47881dexfilingfees.htm"/>
      <w:bookmarkStart w:id="25" w:name="ksd47881dexfilingfees"/>
      <w:bookmarkEnd w:id="24"/>
      <w:bookmarkEnd w:id="25"/>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Jaguar Health,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Voting 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200,000 </w:t>
            </w:r>
          </w:p>
        </w:tc>
        <w:tc>
          <w:tcPr>
            <w:tcW w:w="1156" w:type="dxa"/>
            <w:tcBorders/>
            <w:shd w:fill="E7E7E2" w:val="clear"/>
            <w:vAlign w:val="center"/>
          </w:tcPr>
          <w:p>
            <w:pPr>
              <w:pStyle w:val="TableContents"/>
              <w:bidi w:val="0"/>
              <w:spacing w:before="0" w:after="283"/>
              <w:jc w:val="right"/>
              <w:rPr/>
            </w:pPr>
            <w:r>
              <w:rPr/>
              <w:t xml:space="preserve">$ 1.30 </w:t>
            </w:r>
          </w:p>
        </w:tc>
        <w:tc>
          <w:tcPr>
            <w:tcW w:w="1666" w:type="dxa"/>
            <w:tcBorders/>
            <w:shd w:fill="E7E7E2" w:val="clear"/>
            <w:vAlign w:val="center"/>
          </w:tcPr>
          <w:p>
            <w:pPr>
              <w:pStyle w:val="TableContents"/>
              <w:bidi w:val="0"/>
              <w:spacing w:before="0" w:after="283"/>
              <w:jc w:val="right"/>
              <w:rPr/>
            </w:pPr>
            <w:r>
              <w:rPr/>
              <w:t xml:space="preserve">$ 260,000.00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$ 35.91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Voting 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40,800,000 </w:t>
            </w:r>
          </w:p>
        </w:tc>
        <w:tc>
          <w:tcPr>
            <w:tcW w:w="1156" w:type="dxa"/>
            <w:tcBorders/>
            <w:shd w:fill="E7E7E2" w:val="clear"/>
            <w:vAlign w:val="center"/>
          </w:tcPr>
          <w:p>
            <w:pPr>
              <w:pStyle w:val="TableContents"/>
              <w:bidi w:val="0"/>
              <w:spacing w:before="0" w:after="283"/>
              <w:jc w:val="right"/>
              <w:rPr/>
            </w:pPr>
            <w:r>
              <w:rPr/>
              <w:t xml:space="preserve">$ 2.20 </w:t>
            </w:r>
          </w:p>
        </w:tc>
        <w:tc>
          <w:tcPr>
            <w:tcW w:w="1666" w:type="dxa"/>
            <w:tcBorders/>
            <w:shd w:fill="E7E7E2" w:val="clear"/>
            <w:vAlign w:val="center"/>
          </w:tcPr>
          <w:p>
            <w:pPr>
              <w:pStyle w:val="TableContents"/>
              <w:bidi w:val="0"/>
              <w:spacing w:before="0" w:after="283"/>
              <w:jc w:val="right"/>
              <w:rPr/>
            </w:pPr>
            <w:r>
              <w:rPr/>
              <w:t xml:space="preserve">$ 89,760,000.00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$ 12,395.86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$ 90,020,000.00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$ 12,431.77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$ 12,395.86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$ 35.91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8"/>
        <w:gridCol w:w="8702"/>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Estimated solely for the purposes of calculating the registration fee pursuant to Rule 457(c) under the Securities Act of 1933, as amended, with respect to the additional 200,000 shares of the registrant's voting common stock being newly registered pursuant to this Pre-Effective Amendment, based on the average of the high and low prices of the registrant's voting common stock as quoted on The Nasdaq Capital Market on July 22, 2026 (such date being within five business days of the date that this Pre-Effective Amendment to the Registration Statement was filed with the Securities and Exchange Commission).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Reflects the amount of securities, Maximum Aggregate Offering Price, and registration fee previously registered and paid in connection with 40,800,000 shares of the registrant's voting commo stock registered pursuant to the Registration Statement as originally file with the Securities and Exchange Commission on July 16, 2026.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164339/d70657dpre14a.htm" TargetMode="External"/><Relationship Id="rId6" Type="http://schemas.openxmlformats.org/officeDocument/2006/relationships/hyperlink" Target="http://www.sec.gov/Archives/edgar/data/../../../ix?doc=/Archives/edgar/data/1585608/000119312526122184/d22104ddef14a.htm" TargetMode="External"/><Relationship Id="rId7" Type="http://schemas.openxmlformats.org/officeDocument/2006/relationships/hyperlink" Target="http://www.sec.gov/Archives/edgar/data/../../../ix?doc=/Archives/edgar/data/1585608/000119312526192753/d70657ddef14a.htm" TargetMode="External"/><Relationship Id="rId8" Type="http://schemas.openxmlformats.org/officeDocument/2006/relationships/hyperlink" Target="http://www.sec.gov/Archives/edgar/data/1585608/000119312526207621/d104009ddefa14a.htm" TargetMode="External"/><Relationship Id="rId9" Type="http://schemas.openxmlformats.org/officeDocument/2006/relationships/hyperlink" Target="http://www.sec.gov/Archives/edgar/data/1585608/000119312526248883/d115751ddefa14a.htm" TargetMode="External"/><Relationship Id="rId10" Type="http://schemas.openxmlformats.org/officeDocument/2006/relationships/hyperlink" Target="http://www.sec.gov/Archives/edgar/data/../../../ix?doc=/Archives/edgar/data/1585608/000119312526009221/jagx-20260105.htm" TargetMode="External"/><Relationship Id="rId11" Type="http://schemas.openxmlformats.org/officeDocument/2006/relationships/hyperlink" Target="http://www.sec.gov/Archives/edgar/data/1585608/000119312526009644/jagx-20260112.htm" TargetMode="External"/><Relationship Id="rId12" Type="http://schemas.openxmlformats.org/officeDocument/2006/relationships/hyperlink" Target="http://www.sec.gov/Archives/edgar/data/../../../ix?doc=/Archives/edgar/data/1585608/000119312526014231/jagx-20260112.htm" TargetMode="External"/><Relationship Id="rId13" Type="http://schemas.openxmlformats.org/officeDocument/2006/relationships/hyperlink" Target="http://www.sec.gov/Archives/edgar/data/../../../ix?doc=/Archives/edgar/data/1585608/000119312526021064/jagx-20260116.htm" TargetMode="External"/><Relationship Id="rId14" Type="http://schemas.openxmlformats.org/officeDocument/2006/relationships/hyperlink" Target="http://www.sec.gov/Archives/edgar/data/../../../ix?doc=/Archives/edgar/data/1585608/000119312526056157/d70748d8k.htm" TargetMode="External"/><Relationship Id="rId15" Type="http://schemas.openxmlformats.org/officeDocument/2006/relationships/hyperlink" Target="http://www.sec.gov/Archives/edgar/data/../../../ix?doc=/Archives/edgar/data/1585608/000119312526086882/d236488d8k.htm" TargetMode="External"/><Relationship Id="rId16" Type="http://schemas.openxmlformats.org/officeDocument/2006/relationships/hyperlink" Target="http://www.sec.gov/Archives/edgar/data/../../../ix?doc=/Archives/edgar/data/1585608/000119312526096565/d62332d8k.htm" TargetMode="External"/><Relationship Id="rId17" Type="http://schemas.openxmlformats.org/officeDocument/2006/relationships/hyperlink" Target="http://www.sec.gov/Archives/edgar/data/../../../ix?doc=/Archives/edgar/data/1585608/000119312526097700/d89977d8k.htm" TargetMode="External"/><Relationship Id="rId18" Type="http://schemas.openxmlformats.org/officeDocument/2006/relationships/hyperlink" Target="http://www.sec.gov/Archives/edgar/data/../../../ix?doc=/Archives/edgar/data/1585608/000119312526149828/d145473d8k.htm" TargetMode="External"/><Relationship Id="rId19" Type="http://schemas.openxmlformats.org/officeDocument/2006/relationships/hyperlink" Target="http://www.sec.gov/Archives/edgar/data/../../../ix?doc=/Archives/edgar/data/1585608/000119312526165120/d10648d8k.htm" TargetMode="External"/><Relationship Id="rId20" Type="http://schemas.openxmlformats.org/officeDocument/2006/relationships/hyperlink" Target="http://www.sec.gov/Archives/edgar/data/../../../ix?doc=/Archives/edgar/data/1585608/000119312526179391/d109088d8k.htm" TargetMode="External"/><Relationship Id="rId21" Type="http://schemas.openxmlformats.org/officeDocument/2006/relationships/hyperlink" Target="http://www.sec.gov/Archives/edgar/data/../../../ix?doc=/Archives/edgar/data/1585608/000119312526202614/d46623d8k.htm" TargetMode="External"/><Relationship Id="rId22" Type="http://schemas.openxmlformats.org/officeDocument/2006/relationships/hyperlink" Target="http://www.sec.gov/Archives/edgar/data/../../../ix?doc=/Archives/edgar/data/1585608/000119312526204310/d941132d8k.htm" TargetMode="External"/><Relationship Id="rId23" Type="http://schemas.openxmlformats.org/officeDocument/2006/relationships/hyperlink" Target="http://www.sec.gov/Archives/edgar/data/../../../ix?doc=/Archives/edgar/data/1585608/000119312526211545/d55784d8k.htm" TargetMode="External"/><Relationship Id="rId24" Type="http://schemas.openxmlformats.org/officeDocument/2006/relationships/hyperlink" Target="http://www.sec.gov/Archives/edgar/data/../../../ix?doc=/Archives/edgar/data/1585608/000119312526231083/d227929d8k.htm" TargetMode="External"/><Relationship Id="rId25" Type="http://schemas.openxmlformats.org/officeDocument/2006/relationships/hyperlink" Target="http://www.sec.gov/Archives/edgar/data/../../../ix?doc=/Archives/edgar/data/1585608/000119312526237195/d138181d8k.htm" TargetMode="External"/><Relationship Id="rId26" Type="http://schemas.openxmlformats.org/officeDocument/2006/relationships/hyperlink" Target="http://www.sec.gov/Archives/edgar/data/../../../ix?doc=/Archives/edgar/data/1585608/000119312526240645/d129501d8k.htm" TargetMode="External"/><Relationship Id="rId27" Type="http://schemas.openxmlformats.org/officeDocument/2006/relationships/hyperlink" Target="http://www.sec.gov/Archives/edgar/data/../../../ix?doc=/Archives/edgar/data/1585608/000119312526253506/d95782d8k.htm" TargetMode="External"/><Relationship Id="rId28" Type="http://schemas.openxmlformats.org/officeDocument/2006/relationships/hyperlink" Target="http://www.sec.gov/Archives/edgar/data/../../../ix?doc=/Archives/edgar/data/1585608/000119312526261910/d85703d8k.htm" TargetMode="External"/><Relationship Id="rId29" Type="http://schemas.openxmlformats.org/officeDocument/2006/relationships/hyperlink" Target="http://www.sec.gov/Archives/edgar/data/../../../ix?doc=/Archives/edgar/data/1585608/000119312526266770/d570985d8k.htm" TargetMode="External"/><Relationship Id="rId30" Type="http://schemas.openxmlformats.org/officeDocument/2006/relationships/hyperlink" Target="http://www.sec.gov/Archives/edgar/data/../../../ix?doc=/Archives/edgar/data/1585608/000119312526276103/d111863d8k.htm" TargetMode="External"/><Relationship Id="rId31" Type="http://schemas.openxmlformats.org/officeDocument/2006/relationships/hyperlink" Target="http://www.sec.gov/Archives/edgar/data/../../../ix?doc=/Archives/edgar/data/1585608/000119312526276845/d27128d8k.htm" TargetMode="External"/><Relationship Id="rId32" Type="http://schemas.openxmlformats.org/officeDocument/2006/relationships/hyperlink" Target="http://www.sec.gov/Archives/edgar/data/../../../ix?doc=/Archives/edgar/data/0001585608/000119312526281969/d110630d8k.htm" TargetMode="External"/><Relationship Id="rId33" Type="http://schemas.openxmlformats.org/officeDocument/2006/relationships/hyperlink" Target="http://www.sec.gov/Archives/edgar/data/../../../ix?doc=/Archives/edgar/data/0001585608/000119312526292677/d145900d8k.htm" TargetMode="External"/><Relationship Id="rId34" Type="http://schemas.openxmlformats.org/officeDocument/2006/relationships/hyperlink" Target="http://www.sec.gov/Archives/edgar/data/../../../ix?doc=/Archives/edgar/data/0001585608/000119312526303190/d144017d8k.htm" TargetMode="External"/><Relationship Id="rId35" Type="http://schemas.openxmlformats.org/officeDocument/2006/relationships/hyperlink" Target="http://www.sec.gov/Archives/edgar/data/../../../ix?doc=/Archives/edgar/data/1585608/000119312526010173/jagx-20260106.htm" TargetMode="External"/><Relationship Id="rId36" Type="http://schemas.openxmlformats.org/officeDocument/2006/relationships/hyperlink" Target="http://www.sec.gov/Archives/edgar/data/../../../ix?doc=/Archives/edgar/data/1585608/000119312526277570/d121487d8ka.htm" TargetMode="External"/><Relationship Id="rId37" Type="http://schemas.openxmlformats.org/officeDocument/2006/relationships/image" Target="media/image2.jpeg"/><Relationship Id="rId38" Type="http://schemas.openxmlformats.org/officeDocument/2006/relationships/hyperlink" Target="http://www.sec.gov/Archives/edgar/data/1585608/000104746917002234/a2231636zex-2_1.htm" TargetMode="External"/><Relationship Id="rId39" Type="http://schemas.openxmlformats.org/officeDocument/2006/relationships/hyperlink" Target="http://www.sec.gov/Archives/edgar/data/1585608/000110465917048146/a17-18650_1ex3d1.htm" TargetMode="External"/><Relationship Id="rId40" Type="http://schemas.openxmlformats.org/officeDocument/2006/relationships/hyperlink" Target="http://www.sec.gov/Archives/edgar/data/1585608/000104746918002654/a2235058zex-3_2.htm" TargetMode="External"/><Relationship Id="rId41" Type="http://schemas.openxmlformats.org/officeDocument/2006/relationships/hyperlink" Target="http://www.sec.gov/Archives/edgar/data/1585608/000110465918037457/a18-14619_1ex3d1.htm" TargetMode="External"/><Relationship Id="rId42" Type="http://schemas.openxmlformats.org/officeDocument/2006/relationships/hyperlink" Target="http://www.sec.gov/Archives/edgar/data/1585608/000110465918037457/a18-14619_1ex3d2.htm" TargetMode="External"/><Relationship Id="rId43" Type="http://schemas.openxmlformats.org/officeDocument/2006/relationships/hyperlink" Target="http://www.sec.gov/Archives/edgar/data/1585608/000110465919034310/a19-11153_1ex3d1.htm" TargetMode="External"/><Relationship Id="rId44" Type="http://schemas.openxmlformats.org/officeDocument/2006/relationships/hyperlink" Target="http://www.sec.gov/Archives/edgar/data/1585608/000114420415032005/v410855_ex3-2.htm" TargetMode="External"/><Relationship Id="rId45" Type="http://schemas.openxmlformats.org/officeDocument/2006/relationships/hyperlink" Target="http://www.sec.gov/Archives/edgar/data/1585608/000110465920101650/a20-30008_1ex3d1.htm" TargetMode="External"/><Relationship Id="rId46" Type="http://schemas.openxmlformats.org/officeDocument/2006/relationships/hyperlink" Target="http://www.sec.gov/Archives/edgar/data/1585608/000110465920101650/a20-30008_1ex3d2.htm" TargetMode="External"/><Relationship Id="rId47" Type="http://schemas.openxmlformats.org/officeDocument/2006/relationships/hyperlink" Target="http://www.sec.gov/Archives/edgar/data/1585608/000110465920103492/a20-30008_3ex3d1.htm" TargetMode="External"/><Relationship Id="rId48" Type="http://schemas.openxmlformats.org/officeDocument/2006/relationships/hyperlink" Target="http://www.sec.gov/Archives/edgar/data/1585608/000110465920133964/a20-37959_1ex3d1.htm" TargetMode="External"/><Relationship Id="rId49" Type="http://schemas.openxmlformats.org/officeDocument/2006/relationships/hyperlink" Target="http://www.sec.gov/Archives/edgar/data/1585608/000110465921113000/tm2126958d1_ex3-1.htm" TargetMode="External"/><Relationship Id="rId50" Type="http://schemas.openxmlformats.org/officeDocument/2006/relationships/hyperlink" Target="http://www.sec.gov/Archives/edgar/data/1585608/000110465922035625/tm229716d1_ex3-1.htm" TargetMode="External"/><Relationship Id="rId51" Type="http://schemas.openxmlformats.org/officeDocument/2006/relationships/hyperlink" Target="http://www.sec.gov/Archives/edgar/data/1585608/000110465922093712/tm2224333d1_ex3-1.htm" TargetMode="External"/><Relationship Id="rId52" Type="http://schemas.openxmlformats.org/officeDocument/2006/relationships/hyperlink" Target="http://www.sec.gov/Archives/edgar/data/1585608/000110465922104637/tm2227154d1_ex3-1.htm" TargetMode="External"/><Relationship Id="rId53" Type="http://schemas.openxmlformats.org/officeDocument/2006/relationships/hyperlink" Target="http://www.sec.gov/Archives/edgar/data/1585608/000110465922119584/tm2229955d2_ex3-1.htm" TargetMode="External"/><Relationship Id="rId54" Type="http://schemas.openxmlformats.org/officeDocument/2006/relationships/hyperlink" Target="http://www.sec.gov/Archives/edgar/data/1585608/000110465923005489/tm234025d1_ex3-1.htm" TargetMode="External"/><Relationship Id="rId55" Type="http://schemas.openxmlformats.org/officeDocument/2006/relationships/hyperlink" Target="http://www.sec.gov/Archives/edgar/data/1585608/000110465923057501/tm2315061d1_ex3-1.htm" TargetMode="External"/><Relationship Id="rId56" Type="http://schemas.openxmlformats.org/officeDocument/2006/relationships/hyperlink" Target="http://www.sec.gov/Archives/edgar/data/1585608/000110465923077663/tm2320100d1_ex3-1.htm" TargetMode="External"/><Relationship Id="rId57" Type="http://schemas.openxmlformats.org/officeDocument/2006/relationships/hyperlink" Target="http://www.sec.gov/Archives/edgar/data/1585608/000110465923107248/tm2327745d1_ex3-1.htm" TargetMode="External"/><Relationship Id="rId58" Type="http://schemas.openxmlformats.org/officeDocument/2006/relationships/hyperlink" Target="http://www.sec.gov/Archives/edgar/data/1585608/000110465924030064/tm247635d1_ex3-1.htm" TargetMode="External"/><Relationship Id="rId59" Type="http://schemas.openxmlformats.org/officeDocument/2006/relationships/hyperlink" Target="http://www.sec.gov/Archives/edgar/data/1585608/000110465924064484/tm2415080d1_ex3-1.htm" TargetMode="External"/><Relationship Id="rId60" Type="http://schemas.openxmlformats.org/officeDocument/2006/relationships/hyperlink" Target="http://www.sec.gov/Archives/edgar/data/1585608/000095017025028403/jagx-ex3_1.htm" TargetMode="External"/><Relationship Id="rId61" Type="http://schemas.openxmlformats.org/officeDocument/2006/relationships/hyperlink" Target="http://www.sec.gov/Archives/edgar/data/1585608/000095017025040784/jagx-ex3_1.htm" TargetMode="External"/><Relationship Id="rId62" Type="http://schemas.openxmlformats.org/officeDocument/2006/relationships/hyperlink" Target="http://www.sec.gov/Archives/edgar/data/1585608/000119312525120763/d63848dex31.htm" TargetMode="External"/><Relationship Id="rId63" Type="http://schemas.openxmlformats.org/officeDocument/2006/relationships/hyperlink" Target="http://www.sec.gov/Archives/edgar/data/1585608/000119312525152345/d14926dex31.htm" TargetMode="External"/><Relationship Id="rId64" Type="http://schemas.openxmlformats.org/officeDocument/2006/relationships/hyperlink" Target="http://www.sec.gov/Archives/edgar/data/1585608/000119312525201351/d947025dex31.htm" TargetMode="External"/><Relationship Id="rId65" Type="http://schemas.openxmlformats.org/officeDocument/2006/relationships/hyperlink" Target="http://www.sec.gov/Archives/edgar/data/1585608/000119312526086882/d236488dex31.htm" TargetMode="External"/><Relationship Id="rId66" Type="http://schemas.openxmlformats.org/officeDocument/2006/relationships/hyperlink" Target="http://www.sec.gov/Archives/edgar/data/1585608/000119312526165120/d10648dex31.htm" TargetMode="External"/><Relationship Id="rId67" Type="http://schemas.openxmlformats.org/officeDocument/2006/relationships/hyperlink" Target="http://www.sec.gov/Archives/edgar/data/1585608/000119312526179391/d109088dex31.htm" TargetMode="External"/><Relationship Id="rId68" Type="http://schemas.openxmlformats.org/officeDocument/2006/relationships/hyperlink" Target="http://www.sec.gov/Archives/edgar/data/1585608/000119312526231083/d227929dex31.htm" TargetMode="External"/><Relationship Id="rId69" Type="http://schemas.openxmlformats.org/officeDocument/2006/relationships/hyperlink" Target="http://www.sec.gov/Archives/edgar/data/1585608/000119312526266770/d570985dex31.htm" TargetMode="External"/><Relationship Id="rId70" Type="http://schemas.openxmlformats.org/officeDocument/2006/relationships/hyperlink" Target="http://www.sec.gov/Archives/edgar/data/1585608/000110465917048146/a17-18650_1ex4d1.htm" TargetMode="External"/><Relationship Id="rId71" Type="http://schemas.openxmlformats.org/officeDocument/2006/relationships/hyperlink" Target="http://www.sec.gov/Archives/edgar/data/1585608/000110465918055082/a18-24125_1ex4d1.htm" TargetMode="External"/><Relationship Id="rId72" Type="http://schemas.openxmlformats.org/officeDocument/2006/relationships/hyperlink" Target="http://www.sec.gov/Archives/edgar/data/1585608/000110465918056318/a18-28069_1ex4d3.htm" TargetMode="External"/><Relationship Id="rId73" Type="http://schemas.openxmlformats.org/officeDocument/2006/relationships/hyperlink" Target="http://www.sec.gov/Archives/edgar/data/1585608/000110465918056318/a18-28069_1ex4d4.htm" TargetMode="External"/><Relationship Id="rId74" Type="http://schemas.openxmlformats.org/officeDocument/2006/relationships/hyperlink" Target="http://www.sec.gov/Archives/edgar/data/1585608/000104746918006516/a2236839zex-4_6.htm" TargetMode="External"/><Relationship Id="rId75" Type="http://schemas.openxmlformats.org/officeDocument/2006/relationships/hyperlink" Target="http://www.sec.gov/Archives/edgar/data/1585608/000110465919016849/a19-7046_1ex4d3.htm" TargetMode="External"/><Relationship Id="rId76" Type="http://schemas.openxmlformats.org/officeDocument/2006/relationships/hyperlink" Target="http://www.sec.gov/Archives/edgar/data/1585608/000110465919017279/a19-7133_4ex4d1.htm" TargetMode="External"/><Relationship Id="rId77" Type="http://schemas.openxmlformats.org/officeDocument/2006/relationships/hyperlink" Target="http://www.sec.gov/Archives/edgar/data/1585608/000110465919019838/a19-7842_1ex4d1.htm" TargetMode="External"/><Relationship Id="rId78" Type="http://schemas.openxmlformats.org/officeDocument/2006/relationships/hyperlink" Target="http://www.sec.gov/Archives/edgar/data/1585608/000110465918037457/a18-14619_1ex4d1.htm" TargetMode="External"/><Relationship Id="rId79" Type="http://schemas.openxmlformats.org/officeDocument/2006/relationships/hyperlink" Target="http://www.sec.gov/Archives/edgar/data/1585608/000110465919041472/a19-13207_1ex4d1.htm" TargetMode="External"/><Relationship Id="rId80" Type="http://schemas.openxmlformats.org/officeDocument/2006/relationships/hyperlink" Target="http://www.sec.gov/Archives/edgar/data/1585608/000110465919041472/a19-13207_1ex4d2.htm" TargetMode="External"/><Relationship Id="rId81" Type="http://schemas.openxmlformats.org/officeDocument/2006/relationships/hyperlink" Target="http://www.sec.gov/Archives/edgar/data/1585608/000110465919053249/a19-19456_1ex4d1.htm" TargetMode="External"/><Relationship Id="rId82" Type="http://schemas.openxmlformats.org/officeDocument/2006/relationships/hyperlink" Target="http://www.sec.gov/Archives/edgar/data/1585608/000110465919063663/a19-22698_1ex4d1.htm" TargetMode="External"/><Relationship Id="rId83" Type="http://schemas.openxmlformats.org/officeDocument/2006/relationships/hyperlink" Target="http://www.sec.gov/Archives/edgar/data/1585608/000110465919076157/a19-26827_1ex4d1.htm" TargetMode="External"/><Relationship Id="rId84" Type="http://schemas.openxmlformats.org/officeDocument/2006/relationships/hyperlink" Target="http://www.sec.gov/Archives/edgar/data/1585608/000110465920030255/tm2011911d1_ex4-1.htm" TargetMode="External"/><Relationship Id="rId85" Type="http://schemas.openxmlformats.org/officeDocument/2006/relationships/hyperlink" Target="http://www.sec.gov/Archives/edgar/data/1585608/000155837020003581/jagx-20191231ex426e78444.htm" TargetMode="External"/><Relationship Id="rId86" Type="http://schemas.openxmlformats.org/officeDocument/2006/relationships/hyperlink" Target="http://www.sec.gov/Archives/edgar/data/1585608/000110465920065481/tm2019077d5_ex4-1.htm" TargetMode="External"/><Relationship Id="rId87" Type="http://schemas.openxmlformats.org/officeDocument/2006/relationships/hyperlink" Target="http://www.sec.gov/Archives/edgar/data/1585608/000110465920101650/a20-30008_1ex4d1.htm" TargetMode="External"/><Relationship Id="rId88" Type="http://schemas.openxmlformats.org/officeDocument/2006/relationships/hyperlink" Target="http://www.sec.gov/Archives/edgar/data/1585608/000110465920101650/a20-30008_1ex4d1.htm" TargetMode="External"/><Relationship Id="rId89" Type="http://schemas.openxmlformats.org/officeDocument/2006/relationships/hyperlink" Target="http://www.sec.gov/Archives/edgar/data/1585608/000110465920113939/a20-32792_4ex4d1.htm" TargetMode="External"/><Relationship Id="rId90" Type="http://schemas.openxmlformats.org/officeDocument/2006/relationships/hyperlink" Target="http://www.sec.gov/Archives/edgar/data/1585608/000110465920113922/a20-32792_2ex4d1.htm" TargetMode="External"/><Relationship Id="rId91" Type="http://schemas.openxmlformats.org/officeDocument/2006/relationships/hyperlink" Target="http://www.sec.gov/Archives/edgar/data/1585608/000110465920140185/a20-39439_2ex4d1.htm" TargetMode="External"/><Relationship Id="rId92" Type="http://schemas.openxmlformats.org/officeDocument/2006/relationships/hyperlink" Target="http://www.sec.gov/Archives/edgar/data/1585608/000110465921006714/a21-3691_1ex4d1.htm" TargetMode="External"/><Relationship Id="rId93" Type="http://schemas.openxmlformats.org/officeDocument/2006/relationships/hyperlink" Target="http://www.sec.gov/Archives/edgar/data/1585608/000110465921048158/tm2112320d1_ex4-1.htm" TargetMode="External"/><Relationship Id="rId94" Type="http://schemas.openxmlformats.org/officeDocument/2006/relationships/hyperlink" Target="http://www.sec.gov/Archives/edgar/data/1585608/000110465922046478/tm2212799d1_ex4-1.htm" TargetMode="External"/><Relationship Id="rId95" Type="http://schemas.openxmlformats.org/officeDocument/2006/relationships/hyperlink" Target="http://www.sec.gov/Archives/edgar/data/1585608/000110465922046478/tm2212799d1_ex4-2.htm" TargetMode="External"/><Relationship Id="rId96" Type="http://schemas.openxmlformats.org/officeDocument/2006/relationships/hyperlink" Target="http://www.sec.gov/Archives/edgar/data/1585608/000110465922046478/tm2212799d1_ex4-3.htm" TargetMode="External"/><Relationship Id="rId97" Type="http://schemas.openxmlformats.org/officeDocument/2006/relationships/hyperlink" Target="http://www.sec.gov/Archives/edgar/data/1585608/000110465922046478/tm2212799d1_ex4-4.htm" TargetMode="External"/><Relationship Id="rId98" Type="http://schemas.openxmlformats.org/officeDocument/2006/relationships/hyperlink" Target="http://www.sec.gov/Archives/edgar/data/1585608/000110465922096057/tm2224757d1_ex4-1.htm" TargetMode="External"/><Relationship Id="rId99" Type="http://schemas.openxmlformats.org/officeDocument/2006/relationships/hyperlink" Target="http://www.sec.gov/Archives/edgar/data/1585608/000110465923057501/tm2315061d1_ex4-1.htm" TargetMode="External"/><Relationship Id="rId100" Type="http://schemas.openxmlformats.org/officeDocument/2006/relationships/hyperlink" Target="http://www.sec.gov/Archives/edgar/data/1585608/000110465923107248/tm2327745d1_ex4-1.htm" TargetMode="External"/><Relationship Id="rId101" Type="http://schemas.openxmlformats.org/officeDocument/2006/relationships/hyperlink" Target="http://www.sec.gov/Archives/edgar/data/1585608/000110465923107248/tm2327745d1_ex4-2.htm" TargetMode="External"/><Relationship Id="rId102" Type="http://schemas.openxmlformats.org/officeDocument/2006/relationships/hyperlink" Target="http://www.sec.gov/Archives/edgar/data/1585608/000110465923107248/tm2327745d1_ex4-3.htm" TargetMode="External"/><Relationship Id="rId103" Type="http://schemas.openxmlformats.org/officeDocument/2006/relationships/hyperlink" Target="http://www.sec.gov/Archives/edgar/data/1585608/000110465923107248/tm2327745d1_ex4-4.htm" TargetMode="External"/><Relationship Id="rId104" Type="http://schemas.openxmlformats.org/officeDocument/2006/relationships/hyperlink" Target="http://www.sec.gov/Archives/edgar/data/1585608/000110465923107248/tm2327745d1_ex4-5.htm" TargetMode="External"/><Relationship Id="rId105" Type="http://schemas.openxmlformats.org/officeDocument/2006/relationships/hyperlink" Target="http://www.sec.gov/Archives/edgar/data/1585608/000119312525019416/d842829dex41.htm" TargetMode="External"/><Relationship Id="rId106" Type="http://schemas.openxmlformats.org/officeDocument/2006/relationships/hyperlink" Target="http://www.sec.gov/Archives/edgar/data/1585608/000095017025024228/jagx-ex4_1.htm" TargetMode="External"/><Relationship Id="rId107" Type="http://schemas.openxmlformats.org/officeDocument/2006/relationships/hyperlink" Target="http://www.sec.gov/Archives/edgar/data/1585608/000095017025028403/jagx-ex4_1.htm" TargetMode="External"/><Relationship Id="rId108" Type="http://schemas.openxmlformats.org/officeDocument/2006/relationships/hyperlink" Target="http://www.sec.gov/Archives/edgar/data/1585608/000095017025044842/jagx-ex4_1.htm" TargetMode="External"/><Relationship Id="rId109" Type="http://schemas.openxmlformats.org/officeDocument/2006/relationships/hyperlink" Target="http://www.sec.gov/Archives/edgar/data/1585608/000095017025044842/jagx-ex4_2.htm" TargetMode="External"/><Relationship Id="rId110" Type="http://schemas.openxmlformats.org/officeDocument/2006/relationships/hyperlink" Target="http://www.sec.gov/Archives/edgar/data/1585608/000095017025044842/jagx-ex4_3.htm" TargetMode="External"/><Relationship Id="rId111" Type="http://schemas.openxmlformats.org/officeDocument/2006/relationships/hyperlink" Target="http://www.sec.gov/Archives/edgar/data/1585608/000119312525124500/d927226dex41.htm" TargetMode="External"/><Relationship Id="rId112" Type="http://schemas.openxmlformats.org/officeDocument/2006/relationships/hyperlink" Target="http://www.sec.gov/Archives/edgar/data/1585608/000119312525124500/d927226dex42.htm" TargetMode="External"/><Relationship Id="rId113" Type="http://schemas.openxmlformats.org/officeDocument/2006/relationships/hyperlink" Target="http://www.sec.gov/Archives/edgar/data/1585608/000119312525145742/d885397dex41.htm" TargetMode="External"/><Relationship Id="rId114" Type="http://schemas.openxmlformats.org/officeDocument/2006/relationships/hyperlink" Target="http://www.sec.gov/Archives/edgar/data/1585608/000119312525145742/d885397dex42.htm" TargetMode="External"/><Relationship Id="rId115" Type="http://schemas.openxmlformats.org/officeDocument/2006/relationships/hyperlink" Target="http://www.sec.gov/Archives/edgar/data/1585608/000119312525226788/d20552dex41.htm" TargetMode="External"/><Relationship Id="rId116" Type="http://schemas.openxmlformats.org/officeDocument/2006/relationships/hyperlink" Target="http://www.sec.gov/Archives/edgar/data/1585608/000119312525283139/d930413dex41.htm" TargetMode="External"/><Relationship Id="rId117" Type="http://schemas.openxmlformats.org/officeDocument/2006/relationships/hyperlink" Target="http://www.sec.gov/Archives/edgar/data/1585608/000119312525287650/jagx-ex4_1.htm" TargetMode="External"/><Relationship Id="rId118" Type="http://schemas.openxmlformats.org/officeDocument/2006/relationships/hyperlink" Target="http://www.sec.gov/Archives/edgar/data/1585608/000119312525287650/jagx-ex4_2.htm" TargetMode="External"/><Relationship Id="rId119" Type="http://schemas.openxmlformats.org/officeDocument/2006/relationships/hyperlink" Target="http://www.sec.gov/Archives/edgar/data/1585608/000119312525287650/jagx-ex4_3.htm" TargetMode="External"/><Relationship Id="rId120" Type="http://schemas.openxmlformats.org/officeDocument/2006/relationships/hyperlink" Target="http://www.sec.gov/Archives/edgar/data/1585608/000119312525287650/jagx-ex4_4.htm" TargetMode="External"/><Relationship Id="rId121" Type="http://schemas.openxmlformats.org/officeDocument/2006/relationships/hyperlink" Target="http://www.sec.gov/Archives/edgar/data/1585608/000119312526144470/jagx-ex4_51.htm" TargetMode="External"/><Relationship Id="rId122" Type="http://schemas.openxmlformats.org/officeDocument/2006/relationships/hyperlink" Target="http://www.sec.gov/Archives/edgar/data/1585608/000119312526144470/jagx-ex4_52.htm" TargetMode="External"/><Relationship Id="rId123" Type="http://schemas.openxmlformats.org/officeDocument/2006/relationships/hyperlink" Target="http://www.sec.gov/Archives/edgar/data/1585608/000119312526010173/jagx-ex4_1.htm" TargetMode="External"/><Relationship Id="rId124" Type="http://schemas.openxmlformats.org/officeDocument/2006/relationships/hyperlink" Target="http://www.sec.gov/Archives/edgar/data/1585608/000119312526010173/jagx-ex4_2.htm" TargetMode="External"/><Relationship Id="rId125" Type="http://schemas.openxmlformats.org/officeDocument/2006/relationships/hyperlink" Target="http://www.sec.gov/Archives/edgar/data/1585608/000119312526021064/jagx-ex4_1.htm" TargetMode="External"/><Relationship Id="rId126" Type="http://schemas.openxmlformats.org/officeDocument/2006/relationships/hyperlink" Target="http://www.sec.gov/Archives/edgar/data/1585608/000119312526056157/d70748dex41.htm" TargetMode="External"/><Relationship Id="rId127" Type="http://schemas.openxmlformats.org/officeDocument/2006/relationships/hyperlink" Target="http://www.sec.gov/Archives/edgar/data/1585608/000119312526097700/d89977dex41.htm" TargetMode="External"/><Relationship Id="rId128" Type="http://schemas.openxmlformats.org/officeDocument/2006/relationships/hyperlink" Target="http://www.sec.gov/Archives/edgar/data/1585608/000119312526097700/d89977dex42.htm" TargetMode="External"/><Relationship Id="rId129" Type="http://schemas.openxmlformats.org/officeDocument/2006/relationships/hyperlink" Target="http://www.sec.gov/Archives/edgar/data/1585608/000119312526097700/d89977dex43.htm" TargetMode="External"/><Relationship Id="rId130" Type="http://schemas.openxmlformats.org/officeDocument/2006/relationships/hyperlink" Target="http://www.sec.gov/Archives/edgar/data/1585608/000119312526097700/d89977dex44.htm" TargetMode="External"/><Relationship Id="rId131" Type="http://schemas.openxmlformats.org/officeDocument/2006/relationships/hyperlink" Target="http://www.sec.gov/Archives/edgar/data/1585608/000119312526266770/d570985dex41.htm" TargetMode="External"/><Relationship Id="rId132" Type="http://schemas.openxmlformats.org/officeDocument/2006/relationships/hyperlink" Target="http://www.sec.gov/Archives/edgar/data/1585608/000119312526276103/d111863dex41.htm" TargetMode="External"/><Relationship Id="rId133" Type="http://schemas.openxmlformats.org/officeDocument/2006/relationships/hyperlink" Target="http://www.sec.gov/Archives/edgar/data/1585608/000119312526276103/d111863dex42.htm" TargetMode="External"/><Relationship Id="rId134" Type="http://schemas.openxmlformats.org/officeDocument/2006/relationships/hyperlink" Target="http://www.sec.gov/Archives/edgar/data/1585608/000119312526276103/d111863dex43.htm" TargetMode="External"/><Relationship Id="rId135" Type="http://schemas.openxmlformats.org/officeDocument/2006/relationships/hyperlink" Target="http://www.sec.gov/Archives/edgar/data/1585608/000104746914007210/a2221253zex-10_1.htm" TargetMode="External"/><Relationship Id="rId136" Type="http://schemas.openxmlformats.org/officeDocument/2006/relationships/hyperlink" Target="http://www.sec.gov/Archives/edgar/data/1585608/000104746914007210/a2221253zex-10_6.htm" TargetMode="External"/><Relationship Id="rId137" Type="http://schemas.openxmlformats.org/officeDocument/2006/relationships/hyperlink" Target="http://www.sec.gov/Archives/edgar/data/1585608/000104746914007210/a2221253zex-10_7.htm" TargetMode="External"/><Relationship Id="rId138" Type="http://schemas.openxmlformats.org/officeDocument/2006/relationships/hyperlink" Target="http://www.sec.gov/Archives/edgar/data/1585608/000104746914007210/a2221253zex-10_8.htm" TargetMode="External"/><Relationship Id="rId139" Type="http://schemas.openxmlformats.org/officeDocument/2006/relationships/hyperlink" Target="http://www.sec.gov/Archives/edgar/data/1585608/000104746914007210/a2221253zex-10_9.htm" TargetMode="External"/><Relationship Id="rId140" Type="http://schemas.openxmlformats.org/officeDocument/2006/relationships/hyperlink" Target="http://www.sec.gov/Archives/edgar/data/1585608/000104746914007210/a2221253zex-10_11.htm" TargetMode="External"/><Relationship Id="rId141" Type="http://schemas.openxmlformats.org/officeDocument/2006/relationships/hyperlink" Target="http://www.sec.gov/Archives/edgar/data/1585608/000104746916009591/a2227002zex-10_30.htm" TargetMode="External"/><Relationship Id="rId142" Type="http://schemas.openxmlformats.org/officeDocument/2006/relationships/hyperlink" Target="http://www.sec.gov/Archives/edgar/data/1585608/000110465916156957/a16-17191_1ex10d2.htm" TargetMode="External"/><Relationship Id="rId143" Type="http://schemas.openxmlformats.org/officeDocument/2006/relationships/hyperlink" Target="http://www.sec.gov/Archives/edgar/data/1585608/000104746917000684/a2230899zex-10_41.htm" TargetMode="External"/><Relationship Id="rId144" Type="http://schemas.openxmlformats.org/officeDocument/2006/relationships/hyperlink" Target="http://www.sec.gov/Archives/edgar/data/1585608/000104746917003695/a2232030zex-10_61.htm" TargetMode="External"/><Relationship Id="rId145" Type="http://schemas.openxmlformats.org/officeDocument/2006/relationships/hyperlink" Target="http://www.sec.gov/Archives/edgar/data/1585608/000104746917003695/a2232030zex-10_62.htm" TargetMode="External"/><Relationship Id="rId146" Type="http://schemas.openxmlformats.org/officeDocument/2006/relationships/hyperlink" Target="http://www.sec.gov/Archives/edgar/data/1585608/000104746917003695/a2232030zex-10_77.htm" TargetMode="External"/><Relationship Id="rId147" Type="http://schemas.openxmlformats.org/officeDocument/2006/relationships/hyperlink" Target="http://www.sec.gov/Archives/edgar/data/1585608/000104746917004307/a2232537zex-10_83.htm" TargetMode="External"/><Relationship Id="rId148" Type="http://schemas.openxmlformats.org/officeDocument/2006/relationships/hyperlink" Target="http://www.sec.gov/Archives/edgar/data/1585608/000110465917069520/a17-20620_1ex10d8.htm" TargetMode="External"/><Relationship Id="rId149" Type="http://schemas.openxmlformats.org/officeDocument/2006/relationships/hyperlink" Target="http://www.sec.gov/Archives/edgar/data/1585608/000110465918020494/a18-8963_1ex10d2.htm" TargetMode="External"/><Relationship Id="rId150" Type="http://schemas.openxmlformats.org/officeDocument/2006/relationships/hyperlink" Target="http://www.sec.gov/Archives/edgar/data/1585608/000110465918056318/a18-28069_1ex10d3.htm" TargetMode="External"/><Relationship Id="rId151" Type="http://schemas.openxmlformats.org/officeDocument/2006/relationships/hyperlink" Target="http://www.sec.gov/Archives/edgar/data/1585608/000110465918056318/a18-28069_1ex10d4.htm" TargetMode="External"/><Relationship Id="rId152" Type="http://schemas.openxmlformats.org/officeDocument/2006/relationships/hyperlink" Target="http://www.sec.gov/Archives/edgar/data/1585608/000110465919016849/a19-7046_1ex10d2.htm" TargetMode="External"/><Relationship Id="rId153" Type="http://schemas.openxmlformats.org/officeDocument/2006/relationships/hyperlink" Target="http://www.sec.gov/Archives/edgar/data/1585608/000110465919019838/a19-7842_1ex10d1.htm" TargetMode="External"/><Relationship Id="rId154" Type="http://schemas.openxmlformats.org/officeDocument/2006/relationships/hyperlink" Target="http://www.sec.gov/Archives/edgar/data/1585608/000110465919051819/a19-19067_1ex10d120.htm" TargetMode="External"/><Relationship Id="rId155" Type="http://schemas.openxmlformats.org/officeDocument/2006/relationships/hyperlink" Target="http://www.sec.gov/Archives/edgar/data/1585608/000110465919039384/a19-12497_1ex10d1.htm" TargetMode="External"/><Relationship Id="rId156" Type="http://schemas.openxmlformats.org/officeDocument/2006/relationships/hyperlink" Target="http://www.sec.gov/Archives/edgar/data/1585608/000155837021003811/jagx-20201231ex10249f535.htm" TargetMode="External"/><Relationship Id="rId157" Type="http://schemas.openxmlformats.org/officeDocument/2006/relationships/hyperlink" Target="http://www.sec.gov/Archives/edgar/data/1585608/000155837019008174/jagx-20190630ex106ca3861.htm" TargetMode="External"/><Relationship Id="rId158" Type="http://schemas.openxmlformats.org/officeDocument/2006/relationships/hyperlink" Target="http://www.sec.gov/Archives/edgar/data/1585608/000104746919004164/a2239230zex-10_117.htm" TargetMode="External"/><Relationship Id="rId159" Type="http://schemas.openxmlformats.org/officeDocument/2006/relationships/hyperlink" Target="http://www.sec.gov/Archives/edgar/data/1585608/000110465919053249/a19-19456_1ex10d1.htm" TargetMode="External"/><Relationship Id="rId160" Type="http://schemas.openxmlformats.org/officeDocument/2006/relationships/hyperlink" Target="http://www.sec.gov/Archives/edgar/data/1585608/000110465919063663/a19-22698_1ex10d1.htm" TargetMode="External"/><Relationship Id="rId161" Type="http://schemas.openxmlformats.org/officeDocument/2006/relationships/hyperlink" Target="http://www.sec.gov/Archives/edgar/data/1585608/000110465919076157/a19-26827_1ex10d1.htm" TargetMode="External"/><Relationship Id="rId162" Type="http://schemas.openxmlformats.org/officeDocument/2006/relationships/hyperlink" Target="http://www.sec.gov/Archives/edgar/data/1585608/000110465920027071/tm2011249d2_ex10-1.htm" TargetMode="External"/><Relationship Id="rId163" Type="http://schemas.openxmlformats.org/officeDocument/2006/relationships/hyperlink" Target="http://www.sec.gov/Archives/edgar/data/1585608/000110465920038877/tm2013507d1_ex10-1.htm" TargetMode="External"/><Relationship Id="rId164" Type="http://schemas.openxmlformats.org/officeDocument/2006/relationships/hyperlink" Target="http://www.sec.gov/Archives/edgar/data/1585608/000110465920038877/tm2013507d1_ex10-4.htm" TargetMode="External"/><Relationship Id="rId165" Type="http://schemas.openxmlformats.org/officeDocument/2006/relationships/hyperlink" Target="http://www.sec.gov/Archives/edgar/data/1585608/000110465920038877/tm2013507d1_ex10-5.htm" TargetMode="External"/><Relationship Id="rId166" Type="http://schemas.openxmlformats.org/officeDocument/2006/relationships/hyperlink" Target="http://www.sec.gov/Archives/edgar/data/1585608/000155837020003581/jagx-20191231ex10101a436.htm" TargetMode="External"/><Relationship Id="rId167" Type="http://schemas.openxmlformats.org/officeDocument/2006/relationships/hyperlink" Target="http://www.sec.gov/Archives/edgar/data/1585608/000110465920047211/a20-15990_1ex10d1.htm" TargetMode="External"/><Relationship Id="rId168" Type="http://schemas.openxmlformats.org/officeDocument/2006/relationships/hyperlink" Target="http://www.sec.gov/Archives/edgar/data/1585608/000110465920047211/a20-15990_1ex10d2.htm" TargetMode="External"/><Relationship Id="rId169" Type="http://schemas.openxmlformats.org/officeDocument/2006/relationships/hyperlink" Target="http://www.sec.gov/Archives/edgar/data/1585608/000110465920064444/tm2019077d3_ex10-1.htm" TargetMode="External"/><Relationship Id="rId170" Type="http://schemas.openxmlformats.org/officeDocument/2006/relationships/hyperlink" Target="http://www.sec.gov/Archives/edgar/data/1585608/000110465920064444/tm2019077d3_ex10-2.htm" TargetMode="External"/><Relationship Id="rId171" Type="http://schemas.openxmlformats.org/officeDocument/2006/relationships/hyperlink" Target="http://www.sec.gov/Archives/edgar/data/1585608/000110465920075302/a20-22810_1ex10d1.htm" TargetMode="External"/><Relationship Id="rId172" Type="http://schemas.openxmlformats.org/officeDocument/2006/relationships/hyperlink" Target="http://www.sec.gov/Archives/edgar/data/1585608/000110465920075302/a20-22810_1ex10d2.htm" TargetMode="External"/><Relationship Id="rId173" Type="http://schemas.openxmlformats.org/officeDocument/2006/relationships/hyperlink" Target="http://www.sec.gov/Archives/edgar/data/1585608/000110465920075302/a20-22810_1ex10d3.htm" TargetMode="External"/><Relationship Id="rId174" Type="http://schemas.openxmlformats.org/officeDocument/2006/relationships/hyperlink" Target="http://www.sec.gov/Archives/edgar/data/1585608/000110465920030255/tm2011911d1_ex10-1.htm" TargetMode="External"/><Relationship Id="rId175" Type="http://schemas.openxmlformats.org/officeDocument/2006/relationships/hyperlink" Target="http://www.sec.gov/Archives/edgar/data/1585608/000110465920083467/a20-24810_1ex10d1.htm" TargetMode="External"/><Relationship Id="rId176" Type="http://schemas.openxmlformats.org/officeDocument/2006/relationships/hyperlink" Target="http://www.sec.gov/Archives/edgar/data/1585608/000155837020010491/jagx-20200630ex1011b79cb.htm" TargetMode="External"/><Relationship Id="rId177" Type="http://schemas.openxmlformats.org/officeDocument/2006/relationships/hyperlink" Target="http://www.sec.gov/Archives/edgar/data/1585608/000155837020010491/jagx-20200630ex101286fcb.htm" TargetMode="External"/><Relationship Id="rId178" Type="http://schemas.openxmlformats.org/officeDocument/2006/relationships/hyperlink" Target="http://www.sec.gov/Archives/edgar/data/1585608/000155837020010491/jagx-20200630ex10134ea61.htm" TargetMode="External"/><Relationship Id="rId179" Type="http://schemas.openxmlformats.org/officeDocument/2006/relationships/hyperlink" Target="http://www.sec.gov/Archives/edgar/data/1585608/000110465920101650/a20-30008_1ex10d1.htm" TargetMode="External"/><Relationship Id="rId180" Type="http://schemas.openxmlformats.org/officeDocument/2006/relationships/hyperlink" Target="http://www.sec.gov/Archives/edgar/data/1585608/000110465920101650/a20-30008_1ex10d2.htm" TargetMode="External"/><Relationship Id="rId181" Type="http://schemas.openxmlformats.org/officeDocument/2006/relationships/hyperlink" Target="http://www.sec.gov/Archives/edgar/data/1585608/000110465920112859/a20-32587_2ex10d1.htm" TargetMode="External"/><Relationship Id="rId182" Type="http://schemas.openxmlformats.org/officeDocument/2006/relationships/hyperlink" Target="http://www.sec.gov/Archives/edgar/data/1585608/000110465920113922/a20-32792_2ex10d1.htm" TargetMode="External"/><Relationship Id="rId183" Type="http://schemas.openxmlformats.org/officeDocument/2006/relationships/hyperlink" Target="http://www.sec.gov/Archives/edgar/data/1585608/000110465920113939/a20-32792_4ex10d1.htm" TargetMode="External"/><Relationship Id="rId184" Type="http://schemas.openxmlformats.org/officeDocument/2006/relationships/hyperlink" Target="http://www.sec.gov/Archives/edgar/data/1585608/000110465920113939/a20-32792_4ex10d1.htm" TargetMode="External"/><Relationship Id="rId185" Type="http://schemas.openxmlformats.org/officeDocument/2006/relationships/hyperlink" Target="http://www.sec.gov/Archives/edgar/data/1585608/000110465920113939/a20-32792_4ex10d2.htm" TargetMode="External"/><Relationship Id="rId186" Type="http://schemas.openxmlformats.org/officeDocument/2006/relationships/hyperlink" Target="http://www.sec.gov/Archives/edgar/data/1585608/000155837020013865/jagx-20200930ex104d7a47b.htm" TargetMode="External"/><Relationship Id="rId187" Type="http://schemas.openxmlformats.org/officeDocument/2006/relationships/hyperlink" Target="http://www.sec.gov/Archives/edgar/data/1585608/000155837020013865/jagx-20200930ex105d6e75f.htm" TargetMode="External"/><Relationship Id="rId188" Type="http://schemas.openxmlformats.org/officeDocument/2006/relationships/hyperlink" Target="http://www.sec.gov/Archives/edgar/data/1585608/000155837020013865/jagx-20200930ex106bb794e.htm" TargetMode="External"/><Relationship Id="rId189" Type="http://schemas.openxmlformats.org/officeDocument/2006/relationships/hyperlink" Target="http://www.sec.gov/Archives/edgar/data/1585608/000110465920140185/a20-39439_2ex10d1.htm" TargetMode="External"/><Relationship Id="rId190" Type="http://schemas.openxmlformats.org/officeDocument/2006/relationships/hyperlink" Target="http://www.sec.gov/Archives/edgar/data/1585608/000110465921006714/a21-3691_1ex10d1.htm" TargetMode="External"/><Relationship Id="rId191" Type="http://schemas.openxmlformats.org/officeDocument/2006/relationships/hyperlink" Target="http://www.sec.gov/Archives/edgar/data/1585608/000110465921006714/a21-3691_1ex10d2.htm" TargetMode="External"/><Relationship Id="rId192" Type="http://schemas.openxmlformats.org/officeDocument/2006/relationships/hyperlink" Target="http://www.sec.gov/Archives/edgar/data/1585608/000155837021003811/jagx-20201231ex1067a0135.htm" TargetMode="External"/><Relationship Id="rId193" Type="http://schemas.openxmlformats.org/officeDocument/2006/relationships/hyperlink" Target="http://www.sec.gov/Archives/edgar/data/1585608/000110465921004040/a21-3060_1ex10d1.htm" TargetMode="External"/><Relationship Id="rId194" Type="http://schemas.openxmlformats.org/officeDocument/2006/relationships/hyperlink" Target="http://www.sec.gov/Archives/edgar/data/1585608/000110465921048158/tm2112320d1_ex10-1.htm" TargetMode="External"/><Relationship Id="rId195" Type="http://schemas.openxmlformats.org/officeDocument/2006/relationships/hyperlink" Target="http://www.sec.gov/Archives/edgar/data/1585608/000110465921048158/tm2112320d1_ex10-2.htm" TargetMode="External"/><Relationship Id="rId196" Type="http://schemas.openxmlformats.org/officeDocument/2006/relationships/hyperlink" Target="http://www.sec.gov/Archives/edgar/data/1585608/000110465921048158/tm2112320d1_ex10-3.htm" TargetMode="External"/><Relationship Id="rId197" Type="http://schemas.openxmlformats.org/officeDocument/2006/relationships/hyperlink" Target="http://www.sec.gov/Archives/edgar/data/1585608/000110465921059150/tm2114653d1_ex10-1.htm" TargetMode="External"/><Relationship Id="rId198" Type="http://schemas.openxmlformats.org/officeDocument/2006/relationships/hyperlink" Target="http://www.sec.gov/Archives/edgar/data/1585608/000110465921077122/tm2118428d1_ex10-1.htm" TargetMode="External"/><Relationship Id="rId199" Type="http://schemas.openxmlformats.org/officeDocument/2006/relationships/hyperlink" Target="http://www.sec.gov/Archives/edgar/data/1585608/000110465921109004/tm2125746d1_ex10-1.htm" TargetMode="External"/><Relationship Id="rId200" Type="http://schemas.openxmlformats.org/officeDocument/2006/relationships/hyperlink" Target="http://www.sec.gov/Archives/edgar/data/1585608/000110465921116919/tm2127647d1_ex10-1.htm" TargetMode="External"/><Relationship Id="rId201" Type="http://schemas.openxmlformats.org/officeDocument/2006/relationships/hyperlink" Target="http://www.sec.gov/Archives/edgar/data/1585608/000110465921148714/tm2135150d2_ex10-1.htm" TargetMode="External"/><Relationship Id="rId202" Type="http://schemas.openxmlformats.org/officeDocument/2006/relationships/hyperlink" Target="http://www.sec.gov/Archives/edgar/data/1585608/000110465922010921/tm225182d2_ex10-1.htm" TargetMode="External"/><Relationship Id="rId203" Type="http://schemas.openxmlformats.org/officeDocument/2006/relationships/hyperlink" Target="http://www.sec.gov/Archives/edgar/data/1585608/000110465922046478/tm2212799d1_ex10-1.htm" TargetMode="External"/><Relationship Id="rId204" Type="http://schemas.openxmlformats.org/officeDocument/2006/relationships/hyperlink" Target="http://www.sec.gov/Archives/edgar/data/1585608/000110465922046478/tm2212799d1_ex10-1.htm" TargetMode="External"/><Relationship Id="rId205" Type="http://schemas.openxmlformats.org/officeDocument/2006/relationships/hyperlink" Target="http://www.sec.gov/Archives/edgar/data/1585608/000110465922094064/tm2224333d2_ex10-1.htm" TargetMode="External"/><Relationship Id="rId206" Type="http://schemas.openxmlformats.org/officeDocument/2006/relationships/hyperlink" Target="http://www.sec.gov/Archives/edgar/data/1585608/000110465922075521/tm2219936d1_ex10-1.htm" TargetMode="External"/><Relationship Id="rId207" Type="http://schemas.openxmlformats.org/officeDocument/2006/relationships/hyperlink" Target="http://www.sec.gov/Archives/edgar/data/1585608/000110465922081211/tm2221453d1_ex10-1.htm" TargetMode="External"/><Relationship Id="rId208" Type="http://schemas.openxmlformats.org/officeDocument/2006/relationships/hyperlink" Target="http://www.sec.gov/Archives/edgar/data/1585608/000110465922081211/tm2221453d1_ex10-1.htm" TargetMode="External"/><Relationship Id="rId209" Type="http://schemas.openxmlformats.org/officeDocument/2006/relationships/hyperlink" Target="http://www.sec.gov/Archives/edgar/data/1585608/000110465922093712/tm2224333d1_ex10-1.htm" TargetMode="External"/><Relationship Id="rId210" Type="http://schemas.openxmlformats.org/officeDocument/2006/relationships/hyperlink" Target="http://www.sec.gov/Archives/edgar/data/1585608/000110465922093712/tm2224333d1_ex10-2.htm" TargetMode="External"/><Relationship Id="rId211" Type="http://schemas.openxmlformats.org/officeDocument/2006/relationships/hyperlink" Target="http://www.sec.gov/Archives/edgar/data/1585608/000110465922096057/tm2224757d1_ex10-1.htm" TargetMode="External"/><Relationship Id="rId212" Type="http://schemas.openxmlformats.org/officeDocument/2006/relationships/hyperlink" Target="http://www.sec.gov/Archives/edgar/data/1585608/000110465922108874/tm2228113d1_ex10-1.htm" TargetMode="External"/><Relationship Id="rId213" Type="http://schemas.openxmlformats.org/officeDocument/2006/relationships/hyperlink" Target="http://www.sec.gov/Archives/edgar/data/1585608/000110465922110606/tm2228519d1_ex10-1.htm" TargetMode="External"/><Relationship Id="rId214" Type="http://schemas.openxmlformats.org/officeDocument/2006/relationships/hyperlink" Target="http://www.sec.gov/Archives/edgar/data/1585608/000110465922119584/tm2229955d2_ex10-1.htm" TargetMode="External"/><Relationship Id="rId215" Type="http://schemas.openxmlformats.org/officeDocument/2006/relationships/hyperlink" Target="http://www.sec.gov/Archives/edgar/data/1585608/000110465922131393/tm2233668d1_ex10-1.htm" TargetMode="External"/><Relationship Id="rId216" Type="http://schemas.openxmlformats.org/officeDocument/2006/relationships/hyperlink" Target="http://www.sec.gov/Archives/edgar/data/1585608/000110465923011256/tm235360d1_ex10-1.htm" TargetMode="External"/><Relationship Id="rId217" Type="http://schemas.openxmlformats.org/officeDocument/2006/relationships/hyperlink" Target="http://www.sec.gov/Archives/edgar/data/1585608/000110465923057501/tm2315061d1_ex10-1.htm" TargetMode="External"/><Relationship Id="rId218" Type="http://schemas.openxmlformats.org/officeDocument/2006/relationships/hyperlink" Target="http://www.sec.gov/Archives/edgar/data/1585608/000110465923057501/tm2315061d1_ex10-2.htm" TargetMode="External"/><Relationship Id="rId219" Type="http://schemas.openxmlformats.org/officeDocument/2006/relationships/hyperlink" Target="http://www.sec.gov/Archives/edgar/data/1585608/000110465923062736/tm2315707d2_ex10-1.htm" TargetMode="External"/><Relationship Id="rId220" Type="http://schemas.openxmlformats.org/officeDocument/2006/relationships/hyperlink" Target="http://www.sec.gov/Archives/edgar/data/1585608/000110465923077663/tm2320100d1_ex10-1.htm" TargetMode="External"/><Relationship Id="rId221" Type="http://schemas.openxmlformats.org/officeDocument/2006/relationships/hyperlink" Target="http://www.sec.gov/Archives/edgar/data/1585608/000110465923077663/tm2320100d1_ex10-2.htm" TargetMode="External"/><Relationship Id="rId222" Type="http://schemas.openxmlformats.org/officeDocument/2006/relationships/hyperlink" Target="http://www.sec.gov/Archives/edgar/data/1585608/000155837023014683/jagx-20230630xex10d6.htm" TargetMode="External"/><Relationship Id="rId223" Type="http://schemas.openxmlformats.org/officeDocument/2006/relationships/hyperlink" Target="http://www.sec.gov/Archives/edgar/data/1585608/000155837023014683/jagx-20230630xex10d7.htm" TargetMode="External"/><Relationship Id="rId224" Type="http://schemas.openxmlformats.org/officeDocument/2006/relationships/hyperlink" Target="http://www.sec.gov/Archives/edgar/data/1585608/000110465923107248/tm2327745d1_ex10-1.htm" TargetMode="External"/><Relationship Id="rId225" Type="http://schemas.openxmlformats.org/officeDocument/2006/relationships/hyperlink" Target="http://www.sec.gov/Archives/edgar/data/1585608/000110465923122909/tm2330328d1_10-1.htm" TargetMode="External"/><Relationship Id="rId226" Type="http://schemas.openxmlformats.org/officeDocument/2006/relationships/hyperlink" Target="http://www.sec.gov/Archives/edgar/data/1585608/000110465923122909/tm2330328d1_10-2.htm" TargetMode="External"/><Relationship Id="rId227" Type="http://schemas.openxmlformats.org/officeDocument/2006/relationships/hyperlink" Target="http://www.sec.gov/Archives/edgar/data/1585608/000110465924030064/tm247635d1_ex10-1.htm" TargetMode="External"/><Relationship Id="rId228" Type="http://schemas.openxmlformats.org/officeDocument/2006/relationships/hyperlink" Target="http://www.sec.gov/Archives/edgar/data/1585608/000110465924030064/tm247635d1_ex10-2.htm" TargetMode="External"/><Relationship Id="rId229" Type="http://schemas.openxmlformats.org/officeDocument/2006/relationships/hyperlink" Target="http://www.sec.gov/Archives/edgar/data/1585608/000110465924064484/tm2415080d1_ex10-1.htm" TargetMode="External"/><Relationship Id="rId230" Type="http://schemas.openxmlformats.org/officeDocument/2006/relationships/hyperlink" Target="http://www.sec.gov/Archives/edgar/data/1585608/000110465924080659/tm2419713d1_ex10-1.htm" TargetMode="External"/><Relationship Id="rId231" Type="http://schemas.openxmlformats.org/officeDocument/2006/relationships/hyperlink" Target="http://www.sec.gov/Archives/edgar/data/1585608/000095017024126461/jagx-ex10_1.htm" TargetMode="External"/><Relationship Id="rId232" Type="http://schemas.openxmlformats.org/officeDocument/2006/relationships/hyperlink" Target="http://www.sec.gov/Archives/edgar/data/1585608/000119312525111996/d935311dex101.htm" TargetMode="External"/><Relationship Id="rId233" Type="http://schemas.openxmlformats.org/officeDocument/2006/relationships/hyperlink" Target="http://www.sec.gov/Archives/edgar/data/1585608/000110465924030064/tm247635d1_ex10-1.htm" TargetMode="External"/><Relationship Id="rId234" Type="http://schemas.openxmlformats.org/officeDocument/2006/relationships/hyperlink" Target="http://www.sec.gov/Archives/edgar/data/1585608/000095017025044842/jagx-ex10_1.htm" TargetMode="External"/><Relationship Id="rId235" Type="http://schemas.openxmlformats.org/officeDocument/2006/relationships/hyperlink" Target="http://www.sec.gov/Archives/edgar/data/1585608/000095017025044842/jagx-ex10_2.htm" TargetMode="External"/><Relationship Id="rId236" Type="http://schemas.openxmlformats.org/officeDocument/2006/relationships/hyperlink" Target="http://www.sec.gov/Archives/edgar/data/1585608/000119312525120763/d63848dex101.htm" TargetMode="External"/><Relationship Id="rId237" Type="http://schemas.openxmlformats.org/officeDocument/2006/relationships/hyperlink" Target="http://www.sec.gov/Archives/edgar/data/1585608/000119312525120763/d63848dex102.htm" TargetMode="External"/><Relationship Id="rId238" Type="http://schemas.openxmlformats.org/officeDocument/2006/relationships/hyperlink" Target="http://www.sec.gov/Archives/edgar/data/1585608/000119312525120763/d63848dex103.htm" TargetMode="External"/><Relationship Id="rId239" Type="http://schemas.openxmlformats.org/officeDocument/2006/relationships/hyperlink" Target="http://www.sec.gov/Archives/edgar/data/1585608/000119312525124500/d927226dex101.htm" TargetMode="External"/><Relationship Id="rId240" Type="http://schemas.openxmlformats.org/officeDocument/2006/relationships/hyperlink" Target="http://www.sec.gov/Archives/edgar/data/1585608/000119312525145742/d885397dex101.htm" TargetMode="External"/><Relationship Id="rId241" Type="http://schemas.openxmlformats.org/officeDocument/2006/relationships/hyperlink" Target="http://www.sec.gov/Archives/edgar/data/1585608/000119312525152345/d14926dex101.htm" TargetMode="External"/><Relationship Id="rId242" Type="http://schemas.openxmlformats.org/officeDocument/2006/relationships/hyperlink" Target="http://www.sec.gov/Archives/edgar/data/1585608/000119312525152345/d14926dex102.htm" TargetMode="External"/><Relationship Id="rId243" Type="http://schemas.openxmlformats.org/officeDocument/2006/relationships/hyperlink" Target="http://www.sec.gov/Archives/edgar/data/1585608/000119312525180438/d795256dex101.htm" TargetMode="External"/><Relationship Id="rId244" Type="http://schemas.openxmlformats.org/officeDocument/2006/relationships/hyperlink" Target="http://www.sec.gov/Archives/edgar/data/1585608/000119312525201351/d947025dex101.htm" TargetMode="External"/><Relationship Id="rId245" Type="http://schemas.openxmlformats.org/officeDocument/2006/relationships/hyperlink" Target="http://www.sec.gov/Archives/edgar/data/1585608/000119312525226788/d20552dex101.htm" TargetMode="External"/><Relationship Id="rId246" Type="http://schemas.openxmlformats.org/officeDocument/2006/relationships/hyperlink" Target="http://www.sec.gov/Archives/edgar/data/1585608/000155837019008174/jagx-20190630ex106ca3861.htm" TargetMode="External"/><Relationship Id="rId247" Type="http://schemas.openxmlformats.org/officeDocument/2006/relationships/hyperlink" Target="http://www.sec.gov/Archives/edgar/data/1585608/000119312525283139/d930413dex101.htm" TargetMode="External"/><Relationship Id="rId248" Type="http://schemas.openxmlformats.org/officeDocument/2006/relationships/hyperlink" Target="http://www.sec.gov/Archives/edgar/data/1585608/000119312525283139/d930413dex102.htm" TargetMode="External"/><Relationship Id="rId249" Type="http://schemas.openxmlformats.org/officeDocument/2006/relationships/hyperlink" Target="http://www.sec.gov/Archives/edgar/data/1585608/000119312525283139/d930413dex103.htm" TargetMode="External"/><Relationship Id="rId250" Type="http://schemas.openxmlformats.org/officeDocument/2006/relationships/hyperlink" Target="http://www.sec.gov/Archives/edgar/data/1585608/000119312525283139/d930413dex104.htm" TargetMode="External"/><Relationship Id="rId251" Type="http://schemas.openxmlformats.org/officeDocument/2006/relationships/hyperlink" Target="http://www.sec.gov/Archives/edgar/data/1585608/000119312525287650/jagx-ex10_1.htm" TargetMode="External"/><Relationship Id="rId252" Type="http://schemas.openxmlformats.org/officeDocument/2006/relationships/hyperlink" Target="http://www.sec.gov/Archives/edgar/data/1585608/000119312526144470/jagx-ex10_116.htm" TargetMode="External"/><Relationship Id="rId253" Type="http://schemas.openxmlformats.org/officeDocument/2006/relationships/hyperlink" Target="http://www.sec.gov/Archives/edgar/data/1585608/000119312526144470/jagx-ex10_117.htm" TargetMode="External"/><Relationship Id="rId254" Type="http://schemas.openxmlformats.org/officeDocument/2006/relationships/hyperlink" Target="http://www.sec.gov/Archives/edgar/data/1585608/000119312526009221/jagx-ex10_1.htm" TargetMode="External"/><Relationship Id="rId255" Type="http://schemas.openxmlformats.org/officeDocument/2006/relationships/hyperlink" Target="http://www.sec.gov/Archives/edgar/data/1585608/000119312526014231/jagx-ex10_1.htm" TargetMode="External"/><Relationship Id="rId256" Type="http://schemas.openxmlformats.org/officeDocument/2006/relationships/hyperlink" Target="http://www.sec.gov/Archives/edgar/data/1585608/000119312526014231/jagx-ex10_2.htm" TargetMode="External"/><Relationship Id="rId257" Type="http://schemas.openxmlformats.org/officeDocument/2006/relationships/hyperlink" Target="http://www.sec.gov/Archives/edgar/data/1585608/000119312526021064/jagx-ex10_1.htm" TargetMode="External"/><Relationship Id="rId258" Type="http://schemas.openxmlformats.org/officeDocument/2006/relationships/hyperlink" Target="http://www.sec.gov/Archives/edgar/data/1585608/000119312526021064/jagx-ex10_2.htm" TargetMode="External"/><Relationship Id="rId259" Type="http://schemas.openxmlformats.org/officeDocument/2006/relationships/hyperlink" Target="http://www.sec.gov/Archives/edgar/data/1585608/000119312526021064/jagx-ex10_3.htm" TargetMode="External"/><Relationship Id="rId260" Type="http://schemas.openxmlformats.org/officeDocument/2006/relationships/hyperlink" Target="http://www.sec.gov/Archives/edgar/data/1585608/000119312526021064/jagx-ex10_4.htm" TargetMode="External"/><Relationship Id="rId261" Type="http://schemas.openxmlformats.org/officeDocument/2006/relationships/hyperlink" Target="http://www.sec.gov/Archives/edgar/data/1585608/000119312526021064/jagx-ex10_5.htm" TargetMode="External"/><Relationship Id="rId262" Type="http://schemas.openxmlformats.org/officeDocument/2006/relationships/hyperlink" Target="http://www.sec.gov/Archives/edgar/data/1585608/000119312526021064/jagx-ex10_6.htm" TargetMode="External"/><Relationship Id="rId263" Type="http://schemas.openxmlformats.org/officeDocument/2006/relationships/hyperlink" Target="http://www.sec.gov/Archives/edgar/data/1585608/000119312526097700/d89977dex101.htm" TargetMode="External"/><Relationship Id="rId264" Type="http://schemas.openxmlformats.org/officeDocument/2006/relationships/hyperlink" Target="http://www.sec.gov/Archives/edgar/data/1585608/000119312526097700/d89977dex102.htm" TargetMode="External"/><Relationship Id="rId265" Type="http://schemas.openxmlformats.org/officeDocument/2006/relationships/hyperlink" Target="http://www.sec.gov/Archives/edgar/data/1585608/000119312526266770/d570985dex101.htm" TargetMode="External"/><Relationship Id="rId266" Type="http://schemas.openxmlformats.org/officeDocument/2006/relationships/hyperlink" Target="http://www.sec.gov/Archives/edgar/data/1585608/000119312526266770/d570985dex102.htm" TargetMode="External"/><Relationship Id="rId267" Type="http://schemas.openxmlformats.org/officeDocument/2006/relationships/hyperlink" Target="http://www.sec.gov/Archives/edgar/data/1585608/000119312526266770/d570985dex103.htm" TargetMode="External"/><Relationship Id="rId268" Type="http://schemas.openxmlformats.org/officeDocument/2006/relationships/hyperlink" Target="http://www.sec.gov/Archives/edgar/data/1585608/000119312526266770/d570985dex104.htm" TargetMode="External"/><Relationship Id="rId269" Type="http://schemas.openxmlformats.org/officeDocument/2006/relationships/hyperlink" Target="http://www.sec.gov/Archives/edgar/data/1585608/000119312526276103/d111863dex101.htm" TargetMode="External"/><Relationship Id="rId270" Type="http://schemas.openxmlformats.org/officeDocument/2006/relationships/hyperlink" Target="http://www.sec.gov/Archives/edgar/data/1585608/000119312526276103/d111863dex102.htm" TargetMode="External"/><Relationship Id="rId271" Type="http://schemas.openxmlformats.org/officeDocument/2006/relationships/hyperlink" Target="http://www.sec.gov/Archives/edgar/data/1585608/000119312526276103/d111863dex103.htm" TargetMode="External"/><Relationship Id="rId272" Type="http://schemas.openxmlformats.org/officeDocument/2006/relationships/hyperlink" Target="http://www.sec.gov/Archives/edgar/data/1585608/000119312526281969/d110630dex101.htm" TargetMode="External"/><Relationship Id="rId273" Type="http://schemas.openxmlformats.org/officeDocument/2006/relationships/hyperlink" Target="http://www.sec.gov/Archives/edgar/data/1585608/000119312526303190/d144017dex101.htm" TargetMode="External"/><Relationship Id="rId274" Type="http://schemas.openxmlformats.org/officeDocument/2006/relationships/hyperlink" Target="http://www.sec.gov/Archives/edgar/data/1585608/000119312526144470/jagx-ex21_1.htm" TargetMode="External"/><Relationship Id="rId275" Type="http://schemas.openxmlformats.org/officeDocument/2006/relationships/hyperlink" Target="http://www.sec.gov/Archives/edgar/data/1585608/000119312526304988/d47881ds1.htm" TargetMode="External"/><Relationship Id="rId276" Type="http://schemas.openxmlformats.org/officeDocument/2006/relationships/image" Target="media/image3.jpeg"/><Relationship Id="rId277" Type="http://schemas.openxmlformats.org/officeDocument/2006/relationships/image" Target="media/image4.jpeg"/><Relationship Id="rId278" Type="http://schemas.openxmlformats.org/officeDocument/2006/relationships/image" Target="media/image5.jpeg"/><Relationship Id="rId279" Type="http://schemas.openxmlformats.org/officeDocument/2006/relationships/fontTable" Target="fontTable.xml"/><Relationship Id="rId2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34822</Words>
  <Characters>185690</Characters>
  <CharactersWithSpaces>220982</CharactersWithSpaces>
  <Paragraphs>2172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