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233680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JAGUAR HEALTH, INC.</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60"/>
          </w:cols>
          <w:pgMar w:left="240" w:top="538" w:right="299" w:bottom="1440" w:gutter="0" w:footer="0" w:header="0"/>
        </w:sectPr>
      </w:pPr>
    </w:p>
    <w:p>
      <w:pPr>
        <w:spacing w:after="0" w:line="20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001-36714</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46-2956775</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38" w:right="29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color w:val="auto"/>
        </w:rPr>
        <w:t>incorporation)</w:t>
      </w:r>
    </w:p>
    <w:p>
      <w:pPr>
        <w:sectPr>
          <w:pgSz w:w="11900" w:h="16838" w:orient="portrait"/>
          <w:cols w:equalWidth="0" w:num="1">
            <w:col w:w="11360"/>
          </w:cols>
          <w:pgMar w:left="240" w:top="538" w:right="299" w:bottom="1440" w:gutter="0" w:footer="0" w:header="0"/>
          <w:type w:val="continuous"/>
        </w:sectPr>
      </w:pPr>
    </w:p>
    <w:p>
      <w:pPr>
        <w:spacing w:after="0" w:line="20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201 Mission Street, Suite 2375</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San Francisco, California</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94105</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00" w:space="720"/>
            <w:col w:w="3140"/>
          </w:cols>
          <w:pgMar w:left="240" w:top="538" w:right="299" w:bottom="1440" w:gutter="0" w:footer="0" w:header="0"/>
          <w:type w:val="continuous"/>
        </w:sectPr>
      </w:pPr>
    </w:p>
    <w:p>
      <w:pPr>
        <w:spacing w:after="0" w:line="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(415) 371-8300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x</w:t>
      </w:r>
    </w:p>
    <w:p>
      <w:pPr>
        <w:spacing w:after="0" w:line="225"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395605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38" w:right="29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April 1, 2019, Jaguar Health, Inc. (“Jaguar” or the “Company”) entered into a common stock purchase agreement (the “CSPA”) with Oasis Capital, LLC, a Puerto Rico limited liability company (“Oasis Capital”), relating to an offering (the “Equity Line Offering”) of an aggregate of up to 20,000,000 shares (the “Purchase Shares”) of the Company’s voting common stock, par value $0.0001 per share (the “Common Stock”), all of which are being offered in an indirect primary offering consisting of an equity line of credit. The Equity Line Offering is being made pursuant to the Registration Statement and the related base prospectus included in the Registration Statement, as supplemented by a separate prospectus supplement dated April 1, 2019.</w:t>
      </w:r>
    </w:p>
    <w:p>
      <w:pPr>
        <w:spacing w:after="0" w:line="1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Under the terms of the CSPA, the Company has the right to “put,” or sell, the Purchase Shares to Oasis Capital for an Investment Amount (as defined below and subject to adjustment) at a fixed price of $0.28 per share or such other price agreed upon between the Company and Oasis Capital (the “Purchase Price”).</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From time to time over the term of the CSPA, and at the Company’s sole discretion, the Company may direct Oasis Capital to purchase the Purchase Shares by presenting Oasis Capital with purchase notices (“Purchase Notices”) specifying a number of Purchase Shares to be purchased by Oasis Capital pursuant to the terms of the CSPA. Each Purchase Notice shall require Oasis Capital to purchase shares equal to the lesser of (a) 500,000 shares or (b) 200% of the average trading volume of the Common Stock in the 5 trading days immediately preceding the applicable Purchase Date (each such purchase, a “Regular Purchase”). The “Purchase Date” means with respect to any Regular Purchase, the business day that the respective portion of the Purchase Shares are reflected in Oasis Capital’s account. Each such purchase of Purchase Shares will have an individual closing within one trading day following the receipt of the Purchase Shares for the applicable Purchase Notice.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the Purchase Shares that are the subject of any Purchase Notice, Oasis Capital shall deliver to the Company an amount equal to the product of</w:t>
      </w:r>
    </w:p>
    <w:p>
      <w:pPr>
        <w:spacing w:after="0" w:line="27" w:lineRule="exact"/>
        <w:rPr>
          <w:sz w:val="20"/>
          <w:szCs w:val="20"/>
          <w:color w:val="auto"/>
        </w:rPr>
      </w:pPr>
    </w:p>
    <w:p>
      <w:pPr>
        <w:ind w:right="580" w:firstLine="8"/>
        <w:spacing w:after="0" w:line="255"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and (y) the number of Purchase Shares set forth on such Purchase Notice, minus deposit and clearing costs associated with such purchase. Any proceeds that the Company receives under the CSPA are expected to be used for general corporate purposes and working capital. The transaction expenses associated with the Equity Line Offering are anticipated to be approximately $58,000.</w:t>
      </w:r>
    </w:p>
    <w:p>
      <w:pPr>
        <w:spacing w:after="0" w:line="1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may issue Purchase Shares at any time on or after the date of the CSPA until the date on which Oasis Capital has purchased 20,000,000 Purchase Shares, unless the CSPA is terminated earlier in accordance with its terms; provided, that, the Company is not permitted to submit more than one Purchase Notice to Oasis Capital in any 3 trading day period without Oasis Capital’s consent. Further, the number of Purchase Shares to be purchased by Oasis Capital may not exceed the number of shares that, when added to the number of shares of the Common Stock then beneficially owned by Oasis Capital, would exceed 9.99% of the shares of Common Stock outstanding. Additionally, the Company is not required to deliver Purchase Shares, and Oasis Capital is not entitled to receive such Purchase Shares, if the issuance of such Purchase Shares would exceed the aggregate number of shares of the Common Stock that the Company may issue without breaching our obligations under the rules or regulations of the NASDAQ Capital Market. The Company has the option to increase the equity line of credit by an additional 20,000,000 shares of Common Stock by notifying Oasis Capital at any time after the effective date of the CSPA.</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 regard to the purchase and resale of the Purchase Shares, Oasis Capital is an “underwriter” within the meaning of the Securities Act of 1933, as amended (the “Securities Act”). Any broker-dealers or agents that are involved in resales of Purchase Shares may be deemed “underwriters.” The Company will receive proceeds from the sale of the Purchase Shares directly to Oasis Capital pursuant to the CSPA; however the Company will not receive any proceeds from the resale of the Purchase Shares by Oasis Capital thereafter. We are not paying any underwriting discounts or commissions.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CSPA contains customary representations, warranties and agreements by the Company, customary conditions to closing, indemnification obligations of the Company, including for liabilities under the Securities Act, other obligations of the parties and termination provisions. The representations, warranties and covenants contained in this agreement were made only for purposes of such agreement and as of specific dates, were solely for the benefit of the parties to such agreement, and may be subject to limitations agreed upon by the contracting parties.</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terms and conditions of the CSPA is not complete and is qualified in its entirety by the full text of the CSPA, which is filed herewith as Exhibit 10.1 and incorporated into this Item 1.01 by reference.</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legal opinion and consent of Reed Smith LLP addressing the validity of the securities issued in connection with the Equity Line Offering are filed as Exhibit 5.1 and Exhibit 23.1, respectively, to this Current Report on Form 8-K and are incorporated into the Registration Statement.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Disclaimer on Forward-looking Statements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and section 21E of the Securities Exchange Act of 1934. These include statements regarding the use of proceeds from the offerings. In some cases, you can identify forward-looking statements by terms such as “may,” “will,” “should,” “expect,” “plan,” “aim,” “anticipate,” “could,” “intend,” “target,” “project,” “contemplate,” “believe,” “estimate,” “predict,” “potential” or “continue” or the negative of these terms or other similar expressions. The forward-looking statements in this release are only predictions. The Company has based these forward-looking statements largely on its current expectations and projections about future events. These forward-looking statements speak only as of the date of this release and are subject to a number of risks, uncertainties and assumptions, some of which cannot be predicted or quantified and some of which are beyond the Company’s control. Except as required by applicable law, the Company does not plan to publicly update or revise any forward-looking statements contained herein, whether as a result of any new information, future events, changed circumstances or otherwise.</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7"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i w:val="1"/>
          <w:iCs w:val="1"/>
          <w:color w:val="auto"/>
        </w:rPr>
        <w:t>(d)</w:t>
      </w:r>
      <w:r>
        <w:rPr>
          <w:sz w:val="20"/>
          <w:szCs w:val="20"/>
          <w:color w:val="auto"/>
        </w:rPr>
        <w:tab/>
      </w:r>
      <w:r>
        <w:rPr>
          <w:rFonts w:ascii="Times New Roman" w:cs="Times New Roman" w:eastAsia="Times New Roman" w:hAnsi="Times New Roman"/>
          <w:sz w:val="17"/>
          <w:szCs w:val="17"/>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5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20" w:type="dxa"/>
            <w:vAlign w:val="bottom"/>
            <w:tcBorders>
              <w:top w:val="single" w:sz="8" w:color="auto"/>
              <w:bottom w:val="single" w:sz="8" w:color="0000EE"/>
            </w:tcBorders>
          </w:tcPr>
          <w:p>
            <w:pPr>
              <w:spacing w:after="0" w:line="170" w:lineRule="exact"/>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Opinion of Reed Smith LLP</w:t>
              </w:r>
            </w:hyperlink>
          </w:p>
        </w:tc>
        <w:tc>
          <w:tcPr>
            <w:tcW w:w="7880" w:type="dxa"/>
            <w:vAlign w:val="bottom"/>
            <w:tcBorders>
              <w:top w:val="single" w:sz="8" w:color="auto"/>
            </w:tcBorders>
            <w:gridSpan w:val="3"/>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116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17"/>
                <w:szCs w:val="17"/>
                <w:color w:val="auto"/>
              </w:rPr>
            </w:pPr>
          </w:p>
        </w:tc>
        <w:tc>
          <w:tcPr>
            <w:tcW w:w="85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Common Stock Purchase Agreement, dated April 1, 2019, by and between Jaguar Health, Inc. and Oasis Capital, LLC</w:t>
              </w:r>
            </w:hyperlink>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6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340" w:type="dxa"/>
            <w:vAlign w:val="bottom"/>
          </w:tcPr>
          <w:p>
            <w:pPr>
              <w:spacing w:after="0"/>
              <w:rPr>
                <w:sz w:val="17"/>
                <w:szCs w:val="17"/>
                <w:color w:val="auto"/>
              </w:rPr>
            </w:pPr>
          </w:p>
        </w:tc>
        <w:tc>
          <w:tcPr>
            <w:tcW w:w="9920" w:type="dxa"/>
            <w:vAlign w:val="bottom"/>
            <w:gridSpan w:val="5"/>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Consent of Reed Smith LLP (included in Exhibit 5.1 hereto)</w:t>
              </w:r>
            </w:hyperlink>
          </w:p>
        </w:tc>
        <w:tc>
          <w:tcPr>
            <w:tcW w:w="40" w:type="dxa"/>
            <w:vAlign w:val="bottom"/>
          </w:tcPr>
          <w:p>
            <w:pPr>
              <w:spacing w:after="0"/>
              <w:rPr>
                <w:sz w:val="17"/>
                <w:szCs w:val="17"/>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4320" w:type="dxa"/>
            <w:vAlign w:val="bottom"/>
            <w:tcBorders>
              <w:top w:val="single" w:sz="8" w:color="0000EE"/>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4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2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418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60" w:firstLine="23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756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JAGUAR HEALTH, INC.</w:t>
            </w:r>
          </w:p>
        </w:tc>
        <w:tc>
          <w:tcPr>
            <w:tcW w:w="40" w:type="dxa"/>
            <w:vAlign w:val="bottom"/>
          </w:tcPr>
          <w:p>
            <w:pPr>
              <w:spacing w:after="0"/>
              <w:rPr>
                <w:sz w:val="20"/>
                <w:szCs w:val="20"/>
                <w:color w:val="auto"/>
              </w:rPr>
            </w:pPr>
          </w:p>
        </w:tc>
      </w:tr>
      <w:tr>
        <w:trPr>
          <w:trHeight w:val="648"/>
        </w:trPr>
        <w:tc>
          <w:tcPr>
            <w:tcW w:w="3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April 1, 2019</w:t>
            </w:r>
          </w:p>
        </w:tc>
        <w:tc>
          <w:tcPr>
            <w:tcW w:w="756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Karen S. Wright</w:t>
            </w:r>
          </w:p>
        </w:tc>
        <w:tc>
          <w:tcPr>
            <w:tcW w:w="40" w:type="dxa"/>
            <w:vAlign w:val="bottom"/>
          </w:tcPr>
          <w:p>
            <w:pPr>
              <w:spacing w:after="0"/>
              <w:rPr>
                <w:sz w:val="24"/>
                <w:szCs w:val="24"/>
                <w:color w:val="auto"/>
              </w:rPr>
            </w:pPr>
          </w:p>
        </w:tc>
      </w:tr>
      <w:tr>
        <w:trPr>
          <w:trHeight w:val="178"/>
        </w:trPr>
        <w:tc>
          <w:tcPr>
            <w:tcW w:w="3860" w:type="dxa"/>
            <w:vAlign w:val="bottom"/>
          </w:tcPr>
          <w:p>
            <w:pPr>
              <w:spacing w:after="0"/>
              <w:rPr>
                <w:sz w:val="15"/>
                <w:szCs w:val="15"/>
                <w:color w:val="auto"/>
              </w:rPr>
            </w:pPr>
          </w:p>
        </w:tc>
        <w:tc>
          <w:tcPr>
            <w:tcW w:w="2300" w:type="dxa"/>
            <w:vAlign w:val="bottom"/>
          </w:tcPr>
          <w:p>
            <w:pPr>
              <w:ind w:left="1860"/>
              <w:spacing w:after="0" w:line="178" w:lineRule="exact"/>
              <w:rPr>
                <w:sz w:val="20"/>
                <w:szCs w:val="20"/>
                <w:color w:val="auto"/>
              </w:rPr>
            </w:pPr>
            <w:r>
              <w:rPr>
                <w:rFonts w:ascii="Times New Roman" w:cs="Times New Roman" w:eastAsia="Times New Roman" w:hAnsi="Times New Roman"/>
                <w:sz w:val="18"/>
                <w:szCs w:val="18"/>
                <w:color w:val="auto"/>
                <w:w w:val="87"/>
              </w:rPr>
              <w:t>Name:</w:t>
            </w:r>
          </w:p>
        </w:tc>
        <w:tc>
          <w:tcPr>
            <w:tcW w:w="5260" w:type="dxa"/>
            <w:vAlign w:val="bottom"/>
            <w:tcBorders>
              <w:top w:val="single" w:sz="8" w:color="auto"/>
            </w:tcBorders>
          </w:tcPr>
          <w:p>
            <w:pPr>
              <w:ind w:left="80"/>
              <w:spacing w:after="0" w:line="178" w:lineRule="exact"/>
              <w:rPr>
                <w:sz w:val="20"/>
                <w:szCs w:val="20"/>
                <w:color w:val="auto"/>
              </w:rPr>
            </w:pPr>
            <w:r>
              <w:rPr>
                <w:rFonts w:ascii="Times New Roman" w:cs="Times New Roman" w:eastAsia="Times New Roman" w:hAnsi="Times New Roman"/>
                <w:sz w:val="18"/>
                <w:szCs w:val="18"/>
                <w:color w:val="auto"/>
              </w:rPr>
              <w:t>Karen S. Wright</w:t>
            </w:r>
          </w:p>
        </w:tc>
        <w:tc>
          <w:tcPr>
            <w:tcW w:w="40" w:type="dxa"/>
            <w:vAlign w:val="bottom"/>
          </w:tcPr>
          <w:p>
            <w:pPr>
              <w:spacing w:after="0"/>
              <w:rPr>
                <w:sz w:val="15"/>
                <w:szCs w:val="15"/>
                <w:color w:val="auto"/>
              </w:rPr>
            </w:pPr>
          </w:p>
        </w:tc>
      </w:tr>
      <w:tr>
        <w:trPr>
          <w:trHeight w:val="234"/>
        </w:trPr>
        <w:tc>
          <w:tcPr>
            <w:tcW w:w="3860" w:type="dxa"/>
            <w:vAlign w:val="bottom"/>
          </w:tcPr>
          <w:p>
            <w:pPr>
              <w:spacing w:after="0"/>
              <w:rPr>
                <w:sz w:val="20"/>
                <w:szCs w:val="20"/>
                <w:color w:val="auto"/>
              </w:rPr>
            </w:pPr>
          </w:p>
        </w:tc>
        <w:tc>
          <w:tcPr>
            <w:tcW w:w="756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Title: Chief Financial Officer</w:t>
            </w:r>
          </w:p>
        </w:tc>
        <w:tc>
          <w:tcPr>
            <w:tcW w:w="40" w:type="dxa"/>
            <w:vAlign w:val="bottom"/>
          </w:tcPr>
          <w:p>
            <w:pPr>
              <w:spacing w:after="0"/>
              <w:rPr>
                <w:sz w:val="20"/>
                <w:szCs w:val="20"/>
                <w:color w:val="auto"/>
              </w:rPr>
            </w:pPr>
          </w:p>
        </w:tc>
      </w:tr>
      <w:tr>
        <w:trPr>
          <w:trHeight w:val="432"/>
        </w:trPr>
        <w:tc>
          <w:tcPr>
            <w:tcW w:w="3860" w:type="dxa"/>
            <w:vAlign w:val="bottom"/>
          </w:tcPr>
          <w:p>
            <w:pPr>
              <w:spacing w:after="0"/>
              <w:rPr>
                <w:sz w:val="24"/>
                <w:szCs w:val="24"/>
                <w:color w:val="auto"/>
              </w:rPr>
            </w:pPr>
          </w:p>
        </w:tc>
        <w:tc>
          <w:tcPr>
            <w:tcW w:w="23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4</w:t>
            </w: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86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5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03759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37590" cy="18034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Reed Smith LLP</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101 Second Street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Suite 1800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San Francisco, CA 94105-3659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Tel +1 415 543 8700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Fax +1 415 391 8269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reedsmith.com</w:t>
      </w:r>
    </w:p>
    <w:p>
      <w:pPr>
        <w:spacing w:after="0" w:line="207"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April 1,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Jaguar Health,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 Mission Street, Suite 2375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 94105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have acted as counsel to Jaguar Health,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offer and sale by the Company of an aggregate of up to 20,000,000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voting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pursuant to the Company’s effective Registration Statement on Form S-3 (File No. 333-220236)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relating to the sale of the Shares as set forth in a prospectus supplement dated April 1, 2019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and the accompanying prospectus dated September 14, 2017 (the “</w:t>
      </w:r>
      <w:r>
        <w:rPr>
          <w:rFonts w:ascii="Times New Roman" w:cs="Times New Roman" w:eastAsia="Times New Roman" w:hAnsi="Times New Roman"/>
          <w:sz w:val="18"/>
          <w:szCs w:val="18"/>
          <w:u w:val="single" w:color="auto"/>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All of the Shares are to be sold by the Company pursuant to the Common Stock Purchase Agreement, dated April 1, 2019, between Oasis Capital, LLC and the Company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In rendering the opinion set forth herein, we have examined originals or copies, certified or otherwise identified to our satisfaction, of such documents, corporate records, certificates of public officials and other instruments as we have deemed necessary or advisable.</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such examination, we have assumed the genuineness of all signatures, the legal capacity of natural persons, the authenticity of all items submitted to us as originals, the conformity with originals of all items submitted to us as copies, and the authenticity of the originals of such copies. As to any facts material to the opinions expressed herein that we did not independently establish or verify, we have relied upon statements and representations of officers and other representatives of the Company and public officials.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opinion is based solely on the General Corporation Law of the State of Delaware.</w:t>
      </w:r>
    </w:p>
    <w:p>
      <w:pPr>
        <w:spacing w:after="0" w:line="225"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the Shares have been duly authorized for issuance and, when issued, delivered and paid for in accordance with the terms of the Purchase Agreement, including receipt of the consideration therefor, will be validly issued, fully paid and nonassessable.</w:t>
      </w:r>
    </w:p>
    <w:p>
      <w:pPr>
        <w:spacing w:after="0" w:line="165" w:lineRule="exact"/>
        <w:rPr>
          <w:sz w:val="20"/>
          <w:szCs w:val="20"/>
          <w:color w:val="auto"/>
        </w:rPr>
      </w:pPr>
    </w:p>
    <w:p>
      <w:pPr>
        <w:jc w:val="center"/>
        <w:ind w:left="260" w:right="220"/>
        <w:spacing w:after="0" w:line="145" w:lineRule="exact"/>
        <w:rPr>
          <w:sz w:val="20"/>
          <w:szCs w:val="20"/>
          <w:color w:val="auto"/>
        </w:rPr>
      </w:pPr>
      <w:r>
        <w:rPr>
          <w:rFonts w:ascii="Times New Roman" w:cs="Times New Roman" w:eastAsia="Times New Roman" w:hAnsi="Times New Roman"/>
          <w:sz w:val="11"/>
          <w:szCs w:val="11"/>
          <w:b w:val="1"/>
          <w:bCs w:val="1"/>
          <w:color w:val="auto"/>
        </w:rPr>
        <w:t xml:space="preserve">NEW YORK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b w:val="1"/>
          <w:bCs w:val="1"/>
          <w:color w:val="auto"/>
        </w:rPr>
        <w:t xml:space="preserve"> LONDON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b w:val="1"/>
          <w:bCs w:val="1"/>
          <w:color w:val="auto"/>
        </w:rPr>
        <w:t xml:space="preserve"> HONG KONG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b w:val="1"/>
          <w:bCs w:val="1"/>
          <w:color w:val="auto"/>
        </w:rPr>
        <w:t xml:space="preserve"> CHICAGO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b w:val="1"/>
          <w:bCs w:val="1"/>
          <w:color w:val="auto"/>
        </w:rPr>
        <w:t xml:space="preserve"> WASHINGTON, D.C.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b w:val="1"/>
          <w:bCs w:val="1"/>
          <w:color w:val="auto"/>
        </w:rPr>
        <w:t xml:space="preserve"> BEIJING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b w:val="1"/>
          <w:bCs w:val="1"/>
          <w:color w:val="auto"/>
        </w:rPr>
        <w:t xml:space="preserve"> PARIS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b w:val="1"/>
          <w:bCs w:val="1"/>
          <w:color w:val="auto"/>
        </w:rPr>
        <w:t xml:space="preserve"> LOS ANGELES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b w:val="1"/>
          <w:bCs w:val="1"/>
          <w:color w:val="auto"/>
        </w:rPr>
        <w:t xml:space="preserve"> SAN FRANCISCO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b w:val="1"/>
          <w:bCs w:val="1"/>
          <w:color w:val="auto"/>
        </w:rPr>
        <w:t xml:space="preserve"> PHILADELPHIA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b w:val="1"/>
          <w:bCs w:val="1"/>
          <w:color w:val="auto"/>
        </w:rPr>
        <w:t xml:space="preserve"> SHANGHAI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b w:val="1"/>
          <w:bCs w:val="1"/>
          <w:color w:val="auto"/>
        </w:rPr>
        <w:t xml:space="preserve"> PITTSBURGH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b w:val="1"/>
          <w:bCs w:val="1"/>
          <w:color w:val="auto"/>
        </w:rPr>
        <w:t xml:space="preserve"> HOUSTON SINGAPORE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b w:val="1"/>
          <w:bCs w:val="1"/>
          <w:color w:val="auto"/>
        </w:rPr>
        <w:t xml:space="preserve"> MUNICH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b w:val="1"/>
          <w:bCs w:val="1"/>
          <w:color w:val="auto"/>
        </w:rPr>
        <w:t xml:space="preserve"> ABU DHABI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b w:val="1"/>
          <w:bCs w:val="1"/>
          <w:color w:val="auto"/>
        </w:rPr>
        <w:t xml:space="preserve"> PRINCETON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b w:val="1"/>
          <w:bCs w:val="1"/>
          <w:color w:val="auto"/>
        </w:rPr>
        <w:t xml:space="preserve"> NORTHERN VIRGINIA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b w:val="1"/>
          <w:bCs w:val="1"/>
          <w:color w:val="auto"/>
        </w:rPr>
        <w:t xml:space="preserve"> WILMINGTON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b w:val="1"/>
          <w:bCs w:val="1"/>
          <w:color w:val="auto"/>
        </w:rPr>
        <w:t xml:space="preserve"> SILICON VALLEY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b w:val="1"/>
          <w:bCs w:val="1"/>
          <w:color w:val="auto"/>
        </w:rPr>
        <w:t xml:space="preserve"> DUBAI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b w:val="1"/>
          <w:bCs w:val="1"/>
          <w:color w:val="auto"/>
        </w:rPr>
        <w:t xml:space="preserve"> CENTURY CITY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b w:val="1"/>
          <w:bCs w:val="1"/>
          <w:color w:val="auto"/>
        </w:rPr>
        <w:t xml:space="preserve"> RICHMOND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b w:val="1"/>
          <w:bCs w:val="1"/>
          <w:color w:val="auto"/>
        </w:rPr>
        <w:t xml:space="preserve"> GREECE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b w:val="1"/>
          <w:bCs w:val="1"/>
          <w:color w:val="auto"/>
        </w:rPr>
        <w:t xml:space="preserve"> KAZAKHSTAN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193675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Jaguar Health,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6214110</wp:posOffset>
            </wp:positionH>
            <wp:positionV relativeFrom="paragraph">
              <wp:posOffset>-87630</wp:posOffset>
            </wp:positionV>
            <wp:extent cx="103759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37590" cy="1803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2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consent to the inclusion of this opinion as an exhibit to the Company’s Current Report on Form 8-K filed on April 1, 2019 and further consent to all references to us under the caption “Legal Matters” in the Prospectus Supplement and Prospectus constituting a part of the Registration Statement. In giving this consent, we do not admit that we are in the category of persons whose consent is required under Section 7 of the Securities Act or the rules and regulations of the Commission.</w:t>
      </w:r>
    </w:p>
    <w:p>
      <w:pPr>
        <w:spacing w:after="0" w:line="39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REED SMITH LLP</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REED SMITH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18"/>
          <w:szCs w:val="18"/>
          <w:b w:val="1"/>
          <w:bCs w:val="1"/>
          <w:color w:val="auto"/>
        </w:rPr>
        <w:t>COMMON STOCK PURCHASE AGREEMENT</w:t>
      </w:r>
    </w:p>
    <w:p>
      <w:pPr>
        <w:spacing w:after="0" w:line="225" w:lineRule="exact"/>
        <w:rPr>
          <w:sz w:val="20"/>
          <w:szCs w:val="20"/>
          <w:color w:val="auto"/>
        </w:rPr>
      </w:pPr>
    </w:p>
    <w:p>
      <w:pPr>
        <w:ind w:left="2"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COMMON STOCK PURCHASE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April 1, 2019, is entered into by and between</w:t>
      </w:r>
      <w:r>
        <w:rPr>
          <w:rFonts w:ascii="Times New Roman" w:cs="Times New Roman" w:eastAsia="Times New Roman" w:hAnsi="Times New Roman"/>
          <w:sz w:val="18"/>
          <w:szCs w:val="18"/>
          <w:b w:val="1"/>
          <w:bCs w:val="1"/>
          <w:color w:val="auto"/>
        </w:rPr>
        <w:t xml:space="preserve"> JAGUAR HEALTH,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OASIS CAPITAL, LLC</w:t>
      </w:r>
      <w:r>
        <w:rPr>
          <w:rFonts w:ascii="Times New Roman" w:cs="Times New Roman" w:eastAsia="Times New Roman" w:hAnsi="Times New Roman"/>
          <w:sz w:val="18"/>
          <w:szCs w:val="18"/>
          <w:color w:val="auto"/>
        </w:rPr>
        <w:t>, a Puerto Rico limited liability company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Capitalized terms used herein and not otherwise defined herein are defined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w:t>
      </w:r>
    </w:p>
    <w:p>
      <w:pPr>
        <w:spacing w:after="0" w:line="171"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jc w:val="center"/>
        <w:ind w:right="138"/>
        <w:spacing w:after="0"/>
        <w:rPr>
          <w:sz w:val="20"/>
          <w:szCs w:val="20"/>
          <w:color w:val="auto"/>
        </w:rPr>
      </w:pPr>
      <w:r>
        <w:rPr>
          <w:rFonts w:ascii="Times New Roman" w:cs="Times New Roman" w:eastAsia="Times New Roman" w:hAnsi="Times New Roman"/>
          <w:sz w:val="18"/>
          <w:szCs w:val="18"/>
          <w:color w:val="auto"/>
        </w:rPr>
        <w:t>Subject to the terms and conditions set forth in this Agreement, the Company wishes to sell to the Buyer, and the Buyer wishes to buy from the</w:t>
      </w:r>
    </w:p>
    <w:p>
      <w:pPr>
        <w:spacing w:after="0" w:line="27" w:lineRule="exact"/>
        <w:rPr>
          <w:sz w:val="20"/>
          <w:szCs w:val="20"/>
          <w:color w:val="auto"/>
        </w:rPr>
      </w:pPr>
    </w:p>
    <w:p>
      <w:pPr>
        <w:jc w:val="center"/>
        <w:ind w:right="138"/>
        <w:spacing w:after="0"/>
        <w:rPr>
          <w:sz w:val="20"/>
          <w:szCs w:val="20"/>
          <w:color w:val="auto"/>
        </w:rPr>
      </w:pPr>
      <w:r>
        <w:rPr>
          <w:rFonts w:ascii="Times New Roman" w:cs="Times New Roman" w:eastAsia="Times New Roman" w:hAnsi="Times New Roman"/>
          <w:sz w:val="17"/>
          <w:szCs w:val="17"/>
          <w:color w:val="auto"/>
        </w:rPr>
        <w:t>Company, up to 20,000,000 shares of the Company’s voting common stock (the “</w:t>
      </w:r>
      <w:r>
        <w:rPr>
          <w:rFonts w:ascii="Times New Roman" w:cs="Times New Roman" w:eastAsia="Times New Roman" w:hAnsi="Times New Roman"/>
          <w:sz w:val="17"/>
          <w:szCs w:val="17"/>
          <w:b w:val="1"/>
          <w:bCs w:val="1"/>
          <w:color w:val="auto"/>
        </w:rPr>
        <w:t>Purchase Shares</w:t>
      </w:r>
      <w:r>
        <w:rPr>
          <w:rFonts w:ascii="Times New Roman" w:cs="Times New Roman" w:eastAsia="Times New Roman" w:hAnsi="Times New Roman"/>
          <w:sz w:val="17"/>
          <w:szCs w:val="17"/>
          <w:color w:val="auto"/>
        </w:rPr>
        <w:t>”), par value $0.0001 per share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Company and the Buyer hereby agree as follows:</w:t>
      </w:r>
    </w:p>
    <w:p>
      <w:pPr>
        <w:spacing w:after="0" w:line="225" w:lineRule="exact"/>
        <w:rPr>
          <w:sz w:val="20"/>
          <w:szCs w:val="20"/>
          <w:color w:val="auto"/>
        </w:rPr>
      </w:pPr>
    </w:p>
    <w:p>
      <w:pPr>
        <w:ind w:left="682" w:hanging="345"/>
        <w:spacing w:after="0"/>
        <w:tabs>
          <w:tab w:leader="none" w:pos="682"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OF COMMON STOCK.</w:t>
      </w:r>
    </w:p>
    <w:p>
      <w:pPr>
        <w:spacing w:after="0" w:line="229" w:lineRule="exact"/>
        <w:rPr>
          <w:sz w:val="20"/>
          <w:szCs w:val="20"/>
          <w:color w:val="auto"/>
        </w:rPr>
      </w:pPr>
    </w:p>
    <w:p>
      <w:pPr>
        <w:ind w:left="2" w:right="360" w:firstLine="440"/>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set forth in this Agreement, the Company has the right to sell to the Buyer, and the Buyer has the obligation to purchase from the Company, Purchase Shares as follows:</w:t>
      </w:r>
    </w:p>
    <w:p>
      <w:pPr>
        <w:spacing w:after="0" w:line="162" w:lineRule="exact"/>
        <w:rPr>
          <w:sz w:val="20"/>
          <w:szCs w:val="20"/>
          <w:color w:val="auto"/>
        </w:rPr>
      </w:pPr>
    </w:p>
    <w:p>
      <w:pPr>
        <w:ind w:left="2" w:right="40" w:firstLine="439"/>
        <w:spacing w:after="0" w:line="255" w:lineRule="auto"/>
        <w:tabs>
          <w:tab w:leader="none" w:pos="73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Commencement of Purchases of Common Stock</w:t>
      </w:r>
      <w:r>
        <w:rPr>
          <w:rFonts w:ascii="Times New Roman" w:cs="Times New Roman" w:eastAsia="Times New Roman" w:hAnsi="Times New Roman"/>
          <w:sz w:val="18"/>
          <w:szCs w:val="18"/>
          <w:color w:val="auto"/>
        </w:rPr>
        <w:t xml:space="preserve">. After Commencement (as defined below), the Buyer may purchase the Purchase Shares, pursuant to the terms of this Agreement. At the time of each respective purchase hereunder, Buyer shall pay to the Company the respective purchase price at the time that the respective portion of the Purchase Shares are reflected in the Buyer’s brokerage account, via wire transfer, according to the wiring instructions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(if this occurs after the wire cutoff time for Buyer’s bank, then Buyer shall pay the respective purchase price on immediately following Business Day). Upon issuance of the Purchase Shares as provided herein, such Purchase Shares shall be validly issued and fully paid and non-assessable. The purchase and sale of Purchase Shares hereunder shall occur from time to time upon written notices by the Company to the Buyer on the terms and conditions as set forth herein following the satisfaction of the conditions (the “</w:t>
      </w:r>
      <w:r>
        <w:rPr>
          <w:rFonts w:ascii="Times New Roman" w:cs="Times New Roman" w:eastAsia="Times New Roman" w:hAnsi="Times New Roman"/>
          <w:sz w:val="18"/>
          <w:szCs w:val="18"/>
          <w:b w:val="1"/>
          <w:bCs w:val="1"/>
          <w:color w:val="auto"/>
        </w:rPr>
        <w:t>Commencement”</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below (the date of satisfaction of such conditions, the “</w:t>
      </w: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2" w:right="60" w:firstLine="439"/>
        <w:spacing w:after="0" w:line="254" w:lineRule="auto"/>
        <w:tabs>
          <w:tab w:leader="none" w:pos="74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 he Company’s Right to Require Regular Purchases</w:t>
      </w:r>
      <w:r>
        <w:rPr>
          <w:rFonts w:ascii="Times New Roman" w:cs="Times New Roman" w:eastAsia="Times New Roman" w:hAnsi="Times New Roman"/>
          <w:sz w:val="18"/>
          <w:szCs w:val="18"/>
          <w:color w:val="auto"/>
        </w:rPr>
        <w:t xml:space="preserve"> . Subject to the terms and conditions of this Agreement, on any given Business Day after the Commencement Date, the Company shall have the right but not the obligation to direct the Buyer by its delivery to the Buyer of a Purchase Notice from time to time, and subject to acceptance by the Buyer in Buyer’s sole discretion, to buy the number of Purchase Shares equal to the lesser of (i) 500,000 shares of Common Stock or (ii) 200% of the average trading volume of the Common Stock in the five (5) Business Days immediately preceding the respective date of the Purchase Notice (as long as such notice is delivered on or prior to 8:30 a.m. Eastern time on such Business Day) (each such purchase, a “</w:t>
      </w:r>
      <w:r>
        <w:rPr>
          <w:rFonts w:ascii="Times New Roman" w:cs="Times New Roman" w:eastAsia="Times New Roman" w:hAnsi="Times New Roman"/>
          <w:sz w:val="18"/>
          <w:szCs w:val="18"/>
          <w:b w:val="1"/>
          <w:bCs w:val="1"/>
          <w:color w:val="auto"/>
        </w:rPr>
        <w:t>Regular Purchase</w:t>
      </w:r>
      <w:r>
        <w:rPr>
          <w:rFonts w:ascii="Times New Roman" w:cs="Times New Roman" w:eastAsia="Times New Roman" w:hAnsi="Times New Roman"/>
          <w:sz w:val="18"/>
          <w:szCs w:val="18"/>
          <w:color w:val="auto"/>
        </w:rPr>
        <w:t>”) at the Purchase Price on the Purchase Date, provided, however, that the lowest traded price of the Common Stock in the ten</w:t>
      </w:r>
    </w:p>
    <w:p>
      <w:pPr>
        <w:ind w:left="2" w:right="160" w:hanging="2"/>
        <w:spacing w:after="0" w:line="265" w:lineRule="auto"/>
        <w:tabs>
          <w:tab w:leader="none" w:pos="34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immediately preceding the date of the respective Purchase Notice must be equal to or greater than the Minimum Price. The Company and the Buyer may mutually agree to increase the number of Purchase Shares that may be sold per Regular Purchase. The Company may deliver additional Purchase Notices to the Buyer from time to time, provided, however, that the Company shall not deliver another Purchase Notice to the Buyer within three</w:t>
      </w:r>
    </w:p>
    <w:p>
      <w:pPr>
        <w:ind w:left="2" w:right="80" w:hanging="2"/>
        <w:spacing w:after="0" w:line="261" w:lineRule="auto"/>
        <w:tabs>
          <w:tab w:leader="none" w:pos="2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of a prior Purchase Notice. The share amounts in this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shall be appropriately adjusted for any reorganization, recapitalization, non-cash dividend, stock split, reverse stock split or other similar transaction.</w:t>
      </w:r>
    </w:p>
    <w:p>
      <w:pPr>
        <w:spacing w:after="0" w:line="179" w:lineRule="exact"/>
        <w:rPr>
          <w:rFonts w:ascii="Times New Roman" w:cs="Times New Roman" w:eastAsia="Times New Roman" w:hAnsi="Times New Roman"/>
          <w:sz w:val="18"/>
          <w:szCs w:val="18"/>
          <w:color w:val="auto"/>
        </w:rPr>
      </w:pPr>
    </w:p>
    <w:p>
      <w:pPr>
        <w:ind w:left="822" w:hanging="381"/>
        <w:spacing w:after="0"/>
        <w:tabs>
          <w:tab w:leader="none" w:pos="82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Upsize Option</w:t>
      </w:r>
      <w:r>
        <w:rPr>
          <w:rFonts w:ascii="Times New Roman" w:cs="Times New Roman" w:eastAsia="Times New Roman" w:hAnsi="Times New Roman"/>
          <w:sz w:val="18"/>
          <w:szCs w:val="18"/>
          <w:color w:val="auto"/>
        </w:rPr>
        <w:t>. The Company, at its option and subject to the terms of this Agreement, may increase the total number of Purchase Shares to</w:t>
      </w:r>
    </w:p>
    <w:p>
      <w:pPr>
        <w:spacing w:after="0" w:line="27" w:lineRule="exact"/>
        <w:rPr>
          <w:rFonts w:ascii="Times New Roman" w:cs="Times New Roman" w:eastAsia="Times New Roman" w:hAnsi="Times New Roman"/>
          <w:sz w:val="18"/>
          <w:szCs w:val="18"/>
          <w:color w:val="auto"/>
        </w:rPr>
      </w:pPr>
    </w:p>
    <w:p>
      <w:pPr>
        <w:ind w:left="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 (the “</w:t>
      </w:r>
      <w:r>
        <w:rPr>
          <w:rFonts w:ascii="Times New Roman" w:cs="Times New Roman" w:eastAsia="Times New Roman" w:hAnsi="Times New Roman"/>
          <w:sz w:val="18"/>
          <w:szCs w:val="18"/>
          <w:b w:val="1"/>
          <w:bCs w:val="1"/>
          <w:color w:val="auto"/>
        </w:rPr>
        <w:t>Upsize Option</w:t>
      </w:r>
      <w:r>
        <w:rPr>
          <w:rFonts w:ascii="Times New Roman" w:cs="Times New Roman" w:eastAsia="Times New Roman" w:hAnsi="Times New Roman"/>
          <w:sz w:val="18"/>
          <w:szCs w:val="18"/>
          <w:color w:val="auto"/>
        </w:rPr>
        <w:t>”) on any Business Day</w:t>
      </w:r>
    </w:p>
    <w:p>
      <w:pPr>
        <w:spacing w:after="0" w:line="207"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83820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2"/>
          </w:cols>
          <w:pgMar w:left="338" w:top="117"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after the date of this Agreement, by providing written notice of the exercise of such right to the Buyer.</w:t>
      </w:r>
    </w:p>
    <w:p>
      <w:pPr>
        <w:spacing w:after="0" w:line="225" w:lineRule="exact"/>
        <w:rPr>
          <w:sz w:val="20"/>
          <w:szCs w:val="20"/>
          <w:color w:val="auto"/>
        </w:rPr>
      </w:pPr>
    </w:p>
    <w:p>
      <w:pPr>
        <w:ind w:firstLine="439"/>
        <w:spacing w:after="0" w:line="256" w:lineRule="auto"/>
        <w:tabs>
          <w:tab w:leader="none" w:pos="74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for Purchase Shares</w:t>
      </w:r>
      <w:r>
        <w:rPr>
          <w:rFonts w:ascii="Times New Roman" w:cs="Times New Roman" w:eastAsia="Times New Roman" w:hAnsi="Times New Roman"/>
          <w:sz w:val="18"/>
          <w:szCs w:val="18"/>
          <w:color w:val="auto"/>
        </w:rPr>
        <w:t xml:space="preserve">. With respect to the Purchase Shares that are the subject of any Purchase Notice, the Buyer shall pay to the Company an amount equal to the product of (x) the Purchase Price and (y) the number of Purchase Shares set forth on such Purchase Notice (minus the deposit and clearing fees associated with such purchase) as full payment for such portion of the Purchase Shares via wire transfer of immediately available funds on the respective Purchase Date. All payments made under this Agreement shall be made in lawful money of the United States of America via wire transfer of immediately available funds to the Company according to the wiring instructions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Whenever any amount expressed to be due by the terms of this Agreement is due on any day that is not a Business Day, the same shall instead be due on the next succeeding day that is a Business Day.</w:t>
      </w:r>
    </w:p>
    <w:p>
      <w:pPr>
        <w:spacing w:after="0" w:line="187" w:lineRule="exact"/>
        <w:rPr>
          <w:rFonts w:ascii="Times New Roman" w:cs="Times New Roman" w:eastAsia="Times New Roman" w:hAnsi="Times New Roman"/>
          <w:sz w:val="18"/>
          <w:szCs w:val="18"/>
          <w:color w:val="auto"/>
        </w:rPr>
      </w:pPr>
    </w:p>
    <w:p>
      <w:pPr>
        <w:ind w:left="720" w:hanging="281"/>
        <w:spacing w:after="0"/>
        <w:tabs>
          <w:tab w:leader="none" w:pos="7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00" w:firstLine="439"/>
        <w:spacing w:after="0" w:line="266" w:lineRule="auto"/>
        <w:tabs>
          <w:tab w:leader="none" w:pos="71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Records of Purchases</w:t>
      </w:r>
      <w:r>
        <w:rPr>
          <w:rFonts w:ascii="Times New Roman" w:cs="Times New Roman" w:eastAsia="Times New Roman" w:hAnsi="Times New Roman"/>
          <w:sz w:val="18"/>
          <w:szCs w:val="18"/>
          <w:color w:val="auto"/>
        </w:rPr>
        <w:t>. The Buyer and the Company shall each maintain records showing the remaining Purchase Shares at any given time and the dates and amounts for each purchase, or shall use such other method reasonably satisfactory to the Buyer and the Company to reconcile the remaining Purchase Shares.</w:t>
      </w:r>
    </w:p>
    <w:p>
      <w:pPr>
        <w:spacing w:after="0" w:line="176" w:lineRule="exact"/>
        <w:rPr>
          <w:rFonts w:ascii="Times New Roman" w:cs="Times New Roman" w:eastAsia="Times New Roman" w:hAnsi="Times New Roman"/>
          <w:sz w:val="18"/>
          <w:szCs w:val="18"/>
          <w:color w:val="auto"/>
        </w:rPr>
      </w:pPr>
    </w:p>
    <w:p>
      <w:pPr>
        <w:ind w:right="300" w:firstLine="439"/>
        <w:spacing w:after="0" w:line="282" w:lineRule="auto"/>
        <w:tabs>
          <w:tab w:leader="none" w:pos="74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shall pay any and all transfer, stamp or similar taxes that may be payable with respect to the issuance and delivery of any shares of Common Stock to the Buyer made under this Agreement.</w:t>
      </w:r>
    </w:p>
    <w:p>
      <w:pPr>
        <w:spacing w:after="0" w:line="161" w:lineRule="exact"/>
        <w:rPr>
          <w:rFonts w:ascii="Times New Roman" w:cs="Times New Roman" w:eastAsia="Times New Roman" w:hAnsi="Times New Roman"/>
          <w:sz w:val="18"/>
          <w:szCs w:val="18"/>
          <w:color w:val="auto"/>
        </w:rPr>
      </w:pPr>
    </w:p>
    <w:p>
      <w:pPr>
        <w:ind w:firstLine="439"/>
        <w:spacing w:after="0" w:line="254" w:lineRule="auto"/>
        <w:tabs>
          <w:tab w:leader="none" w:pos="74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Principal Market Rules</w:t>
      </w:r>
      <w:r>
        <w:rPr>
          <w:rFonts w:ascii="Times New Roman" w:cs="Times New Roman" w:eastAsia="Times New Roman" w:hAnsi="Times New Roman"/>
          <w:sz w:val="18"/>
          <w:szCs w:val="18"/>
          <w:color w:val="auto"/>
        </w:rPr>
        <w:t>. Notwithstanding anything in this Agreement to the contrary, the total number of shares of Common Stock that may be issued under this Agreement will not exceed the aggregate number of shares of Common Stock which the Company may issue without breaching the rules and regulations of the Principal Market (including rules related to the aggregation of offerings under Nasdaq Listing Rule 5635(d) if applicable) (the “</w:t>
      </w:r>
      <w:r>
        <w:rPr>
          <w:rFonts w:ascii="Times New Roman" w:cs="Times New Roman" w:eastAsia="Times New Roman" w:hAnsi="Times New Roman"/>
          <w:sz w:val="18"/>
          <w:szCs w:val="18"/>
          <w:b w:val="1"/>
          <w:bCs w:val="1"/>
          <w:color w:val="auto"/>
        </w:rPr>
        <w:t>Exchange Cap</w:t>
      </w:r>
      <w:r>
        <w:rPr>
          <w:rFonts w:ascii="Times New Roman" w:cs="Times New Roman" w:eastAsia="Times New Roman" w:hAnsi="Times New Roman"/>
          <w:sz w:val="18"/>
          <w:szCs w:val="18"/>
          <w:color w:val="auto"/>
        </w:rPr>
        <w:t>”), unless the Company obtains stockholder approval as required by the applicable rules of the Principal Market for the issuance of such shares of Common Stock. The Exchange Cap shall be appropriately adjusted for any reorganization, recapitalization, non-cash dividend, stock split, reverse stock split or other similar transaction. Notwithstanding anything to the contrary in this Agreement or otherwise, the Company shall not be required or permitted to issue, and the Buyer shall not be required to purchase, any shares of Common Stock under this Agreement if such issuance would breach the Company’s obligations under the rules or regulations of the Principal Market. The Company may, in its sole discretion, determine whether to obtain stockholder approval to issue more shares than otherwise permitted under the Exchange Cap if such issuance would require stockholder approval under the rules or regulations of the Principal Market.</w:t>
      </w:r>
    </w:p>
    <w:p>
      <w:pPr>
        <w:spacing w:after="0" w:line="186" w:lineRule="exact"/>
        <w:rPr>
          <w:rFonts w:ascii="Times New Roman" w:cs="Times New Roman" w:eastAsia="Times New Roman" w:hAnsi="Times New Roman"/>
          <w:sz w:val="18"/>
          <w:szCs w:val="18"/>
          <w:color w:val="auto"/>
        </w:rPr>
      </w:pPr>
    </w:p>
    <w:p>
      <w:pPr>
        <w:ind w:right="160" w:firstLine="439"/>
        <w:spacing w:after="0" w:line="258" w:lineRule="auto"/>
        <w:tabs>
          <w:tab w:leader="none" w:pos="70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The Company shall not issue, and the Buyer shall not purchase any shares of Common Stock under this Agreement, if such shares proposed to be issued and sold, when aggregated with all other shares of Common Stock then owned beneficially (as calculated pursuant to Section 13(d) of the Securities Exchange Act of 1934, as amended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and Rule 13d-3 promulgated thereunder) by the Buyer and its affiliates would result in the beneficial ownership by the Buyer and its affiliates of more than 9.99% of the then issued and outstanding shares of Common Stock of the Company.</w:t>
      </w:r>
    </w:p>
    <w:p>
      <w:pPr>
        <w:spacing w:after="0" w:line="179" w:lineRule="exact"/>
        <w:rPr>
          <w:rFonts w:ascii="Times New Roman" w:cs="Times New Roman" w:eastAsia="Times New Roman" w:hAnsi="Times New Roman"/>
          <w:sz w:val="18"/>
          <w:szCs w:val="18"/>
          <w:color w:val="auto"/>
        </w:rPr>
      </w:pPr>
    </w:p>
    <w:p>
      <w:pPr>
        <w:ind w:left="680" w:hanging="345"/>
        <w:spacing w:after="0"/>
        <w:tabs>
          <w:tab w:leader="none" w:pos="6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BUYER’S REPRESENTATIONS AND WARRANTIES.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Buyer represents and warrants to the Company that as of the date hereof and as of the Commencement Date:</w:t>
      </w:r>
    </w:p>
    <w:p>
      <w:pPr>
        <w:spacing w:after="0" w:line="225" w:lineRule="exact"/>
        <w:rPr>
          <w:sz w:val="20"/>
          <w:szCs w:val="20"/>
          <w:color w:val="auto"/>
        </w:rPr>
      </w:pPr>
    </w:p>
    <w:p>
      <w:pPr>
        <w:ind w:right="80" w:firstLine="439"/>
        <w:spacing w:after="0" w:line="282" w:lineRule="auto"/>
        <w:tabs>
          <w:tab w:leader="none" w:pos="73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Purpose</w:t>
      </w:r>
      <w:r>
        <w:rPr>
          <w:rFonts w:ascii="Times New Roman" w:cs="Times New Roman" w:eastAsia="Times New Roman" w:hAnsi="Times New Roman"/>
          <w:sz w:val="18"/>
          <w:szCs w:val="18"/>
          <w:color w:val="auto"/>
        </w:rPr>
        <w:t>. The Buyer is entering into this Agreement and acquiring the Purchase Shares (the Purchase Shares are also referred to herein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for its own account for investment only and not with a view towards, or for resale in connection with, the public sale or</w:t>
      </w:r>
    </w:p>
    <w:p>
      <w:pPr>
        <w:spacing w:after="0" w:line="1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83820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340" w:top="337" w:right="239" w:bottom="1440" w:gutter="0" w:footer="0" w:header="0"/>
        </w:sectPr>
      </w:pPr>
    </w:p>
    <w:bookmarkStart w:id="8" w:name="page9"/>
    <w:bookmarkEnd w:id="8"/>
    <w:p>
      <w:pPr>
        <w:ind w:right="300"/>
        <w:spacing w:after="0" w:line="282" w:lineRule="auto"/>
        <w:rPr>
          <w:sz w:val="20"/>
          <w:szCs w:val="20"/>
          <w:color w:val="auto"/>
        </w:rPr>
      </w:pPr>
      <w:r>
        <w:rPr>
          <w:rFonts w:ascii="Times New Roman" w:cs="Times New Roman" w:eastAsia="Times New Roman" w:hAnsi="Times New Roman"/>
          <w:sz w:val="18"/>
          <w:szCs w:val="18"/>
          <w:color w:val="auto"/>
        </w:rPr>
        <w:t>distribution thereof; provided however, by making the representations herein, the Buyer does not agree to hold any of the Securities for any minimum or other specific term.</w:t>
      </w:r>
    </w:p>
    <w:p>
      <w:pPr>
        <w:spacing w:after="0" w:line="162" w:lineRule="exact"/>
        <w:rPr>
          <w:sz w:val="20"/>
          <w:szCs w:val="20"/>
          <w:color w:val="auto"/>
        </w:rPr>
      </w:pPr>
    </w:p>
    <w:p>
      <w:pPr>
        <w:ind w:left="740" w:hanging="301"/>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 Status</w:t>
      </w:r>
      <w:r>
        <w:rPr>
          <w:rFonts w:ascii="Times New Roman" w:cs="Times New Roman" w:eastAsia="Times New Roman" w:hAnsi="Times New Roman"/>
          <w:sz w:val="18"/>
          <w:szCs w:val="18"/>
          <w:color w:val="auto"/>
        </w:rPr>
        <w:t>. The Buyer is an “accredited investor” as that term is defined in Rule 501(a)(3) of Regulation D under the 1933 Act.</w:t>
      </w:r>
    </w:p>
    <w:p>
      <w:pPr>
        <w:spacing w:after="0" w:line="225" w:lineRule="exact"/>
        <w:rPr>
          <w:rFonts w:ascii="Times New Roman" w:cs="Times New Roman" w:eastAsia="Times New Roman" w:hAnsi="Times New Roman"/>
          <w:sz w:val="18"/>
          <w:szCs w:val="18"/>
          <w:color w:val="auto"/>
        </w:rPr>
      </w:pPr>
    </w:p>
    <w:p>
      <w:pPr>
        <w:ind w:left="720" w:hanging="281"/>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439"/>
        <w:spacing w:after="0" w:line="254" w:lineRule="auto"/>
        <w:tabs>
          <w:tab w:leader="none" w:pos="74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The Buyer has been furnished with all materials relating to the business, finances and operations of the Company and materials relating to the offer and sale of the Securities that have been reasonably requested by the Buyer, including, without limitation, the SEC Documents (as defined in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xml:space="preserve"> hereof). The Buyer understands that its investment in the Securities involves a high degree of risk. The Buyer (i) is able to bear the economic risk of an investment in the Securities including a total loss, (ii) has such knowledge and experience in financial and business matters that it is capable of evaluating the merits and risks of the proposed investment in the Securities and (iii) has had an opportunity to ask questions of and receive answers from the officers of the Company concerning the financial condition and business of the Company and other matters related to an investment in the Securities. Neither such inquiries nor any other due diligence investigations conducted by the Buyer or its representatives shall modify, amend or affect the Buyer’s right to rely on the Company’s representations and warranties contained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below. The Buyer has sought such accounting, legal and tax advice as it has considered necessary to make an informed investment decision with respect to its acquisition of the Securities.</w:t>
      </w:r>
    </w:p>
    <w:p>
      <w:pPr>
        <w:spacing w:after="0" w:line="189" w:lineRule="exact"/>
        <w:rPr>
          <w:rFonts w:ascii="Times New Roman" w:cs="Times New Roman" w:eastAsia="Times New Roman" w:hAnsi="Times New Roman"/>
          <w:sz w:val="18"/>
          <w:szCs w:val="18"/>
          <w:color w:val="auto"/>
        </w:rPr>
      </w:pPr>
    </w:p>
    <w:p>
      <w:pPr>
        <w:ind w:right="80" w:firstLine="439"/>
        <w:spacing w:after="0" w:line="266" w:lineRule="auto"/>
        <w:tabs>
          <w:tab w:leader="none" w:pos="73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Governmental Review</w:t>
      </w:r>
      <w:r>
        <w:rPr>
          <w:rFonts w:ascii="Times New Roman" w:cs="Times New Roman" w:eastAsia="Times New Roman" w:hAnsi="Times New Roman"/>
          <w:sz w:val="18"/>
          <w:szCs w:val="18"/>
          <w:color w:val="auto"/>
        </w:rPr>
        <w:t>. The Buyer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176" w:lineRule="exact"/>
        <w:rPr>
          <w:rFonts w:ascii="Times New Roman" w:cs="Times New Roman" w:eastAsia="Times New Roman" w:hAnsi="Times New Roman"/>
          <w:sz w:val="18"/>
          <w:szCs w:val="18"/>
          <w:color w:val="auto"/>
        </w:rPr>
      </w:pPr>
    </w:p>
    <w:p>
      <w:pPr>
        <w:ind w:left="680" w:hanging="24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60" w:firstLine="439"/>
        <w:spacing w:after="0" w:line="313" w:lineRule="auto"/>
        <w:tabs>
          <w:tab w:leader="none" w:pos="741"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Organization</w:t>
      </w:r>
      <w:r>
        <w:rPr>
          <w:rFonts w:ascii="Times New Roman" w:cs="Times New Roman" w:eastAsia="Times New Roman" w:hAnsi="Times New Roman"/>
          <w:sz w:val="17"/>
          <w:szCs w:val="17"/>
          <w:color w:val="auto"/>
        </w:rPr>
        <w:t>. The Buyer is a limited liability company duly organized and validly existing in good standing under the laws of the jurisdiction in which it is organized, and has the requisite organizational power and authority to own its properties and to carry on its business as now being conducted.</w:t>
      </w:r>
    </w:p>
    <w:p>
      <w:pPr>
        <w:spacing w:after="0" w:line="138" w:lineRule="exact"/>
        <w:rPr>
          <w:rFonts w:ascii="Times New Roman" w:cs="Times New Roman" w:eastAsia="Times New Roman" w:hAnsi="Times New Roman"/>
          <w:sz w:val="17"/>
          <w:szCs w:val="17"/>
          <w:color w:val="auto"/>
        </w:rPr>
      </w:pPr>
    </w:p>
    <w:p>
      <w:pPr>
        <w:ind w:firstLine="475"/>
        <w:spacing w:after="0" w:line="254" w:lineRule="auto"/>
        <w:tabs>
          <w:tab w:leader="none" w:pos="73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 Enforcement</w:t>
      </w:r>
      <w:r>
        <w:rPr>
          <w:rFonts w:ascii="Times New Roman" w:cs="Times New Roman" w:eastAsia="Times New Roman" w:hAnsi="Times New Roman"/>
          <w:sz w:val="18"/>
          <w:szCs w:val="18"/>
          <w:color w:val="auto"/>
        </w:rPr>
        <w:t>. This Agreement has been duly and validly authorized, executed and delivered on behalf of the Buyer and is a valid and binding agreement of the Buyer enforceable against the Buyer in accordance with its terms, subject as to enforceability to (i) general principles of equity and to applicable bankruptcy, insolvency, reorganization, moratorium, liquidation and other similar laws relating to, or affecting generally, the enforcement of applicable creditors’ rights and remedies and (ii) public policy underlying any law, rule or regulation (including any federal or state securities law, rule or regulation) with regards to indemnification, contribution or exculpation. The execution and delivery of the Transaction Documents (as defined in</w:t>
      </w:r>
    </w:p>
    <w:p>
      <w:pPr>
        <w:spacing w:after="0" w:line="3" w:lineRule="exact"/>
        <w:rPr>
          <w:rFonts w:ascii="Times New Roman" w:cs="Times New Roman" w:eastAsia="Times New Roman" w:hAnsi="Times New Roman"/>
          <w:sz w:val="18"/>
          <w:szCs w:val="18"/>
          <w:color w:val="auto"/>
        </w:rPr>
      </w:pPr>
    </w:p>
    <w:p>
      <w:pPr>
        <w:ind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hereof) by the Buyer and the consummation by it of the transactions contemplated hereby and thereby do not conflict with the Buyer’s certificate of organization or operating agreement or similar documents, and do not require further consent or authorization by the Buyer, its managers or its members.</w:t>
      </w:r>
    </w:p>
    <w:p>
      <w:pPr>
        <w:spacing w:after="0" w:line="186" w:lineRule="exact"/>
        <w:rPr>
          <w:sz w:val="20"/>
          <w:szCs w:val="20"/>
          <w:color w:val="auto"/>
        </w:rPr>
      </w:pPr>
    </w:p>
    <w:p>
      <w:pPr>
        <w:ind w:left="760" w:hanging="271"/>
        <w:spacing w:after="0"/>
        <w:tabs>
          <w:tab w:leader="none" w:pos="7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Residency</w:t>
      </w:r>
      <w:r>
        <w:rPr>
          <w:rFonts w:ascii="Times New Roman" w:cs="Times New Roman" w:eastAsia="Times New Roman" w:hAnsi="Times New Roman"/>
          <w:sz w:val="18"/>
          <w:szCs w:val="18"/>
          <w:color w:val="auto"/>
        </w:rPr>
        <w:t>. The Buyer is organized in the territory of Puerto Rico.</w:t>
      </w:r>
    </w:p>
    <w:p>
      <w:pPr>
        <w:spacing w:after="0" w:line="225" w:lineRule="exact"/>
        <w:rPr>
          <w:rFonts w:ascii="Times New Roman" w:cs="Times New Roman" w:eastAsia="Times New Roman" w:hAnsi="Times New Roman"/>
          <w:sz w:val="18"/>
          <w:szCs w:val="18"/>
          <w:color w:val="auto"/>
        </w:rPr>
      </w:pPr>
    </w:p>
    <w:p>
      <w:pPr>
        <w:ind w:left="740" w:hanging="256"/>
        <w:spacing w:after="0"/>
        <w:tabs>
          <w:tab w:leader="none" w:pos="7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[Intentionally Omitted.];</w:t>
      </w:r>
    </w:p>
    <w:p>
      <w:pPr>
        <w:spacing w:after="0" w:line="221" w:lineRule="exact"/>
        <w:rPr>
          <w:rFonts w:ascii="Times New Roman" w:cs="Times New Roman" w:eastAsia="Times New Roman" w:hAnsi="Times New Roman"/>
          <w:sz w:val="18"/>
          <w:szCs w:val="18"/>
          <w:color w:val="auto"/>
        </w:rPr>
      </w:pPr>
    </w:p>
    <w:p>
      <w:pPr>
        <w:ind w:left="680" w:hanging="345"/>
        <w:spacing w:after="0"/>
        <w:tabs>
          <w:tab w:leader="none" w:pos="6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represents and warrants to the Buyer that as of the date hereof and as of the Commencement Date:</w:t>
      </w:r>
    </w:p>
    <w:p>
      <w:pPr>
        <w:spacing w:after="0" w:line="221" w:lineRule="exact"/>
        <w:rPr>
          <w:sz w:val="20"/>
          <w:szCs w:val="20"/>
          <w:color w:val="auto"/>
        </w:rPr>
      </w:pPr>
    </w:p>
    <w:p>
      <w:pPr>
        <w:ind w:right="840" w:firstLine="440"/>
        <w:spacing w:after="0" w:line="286" w:lineRule="auto"/>
        <w:tabs>
          <w:tab w:leader="none" w:pos="73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its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(which for purposes of this Agreement means any entity that is a “significant subsidiary” as defined in Rule 1-02 of Regulation S-X</w:t>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83820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40" w:top="337" w:right="279" w:bottom="1440" w:gutter="0" w:footer="0" w:header="0"/>
        </w:sectPr>
      </w:pPr>
    </w:p>
    <w:bookmarkStart w:id="9" w:name="page10"/>
    <w:bookmarkEnd w:id="9"/>
    <w:p>
      <w:pPr>
        <w:ind w:left="1"/>
        <w:spacing w:after="0" w:line="254" w:lineRule="auto"/>
        <w:rPr>
          <w:sz w:val="20"/>
          <w:szCs w:val="20"/>
          <w:color w:val="auto"/>
        </w:rPr>
      </w:pPr>
      <w:r>
        <w:rPr>
          <w:rFonts w:ascii="Times New Roman" w:cs="Times New Roman" w:eastAsia="Times New Roman" w:hAnsi="Times New Roman"/>
          <w:sz w:val="18"/>
          <w:szCs w:val="18"/>
          <w:color w:val="auto"/>
        </w:rPr>
        <w:t>under the 1933 Act in which the Company, directly or indirectly, owns more than 50% of the voting stock or capital stock or other similar equity interests) are corporations or limited liability companies duly organized and validly existing in good standing under the laws of the jurisdiction in which they are incorporated or organized, and have the requisite corporate or organizational power and authority to own their properties and to carry on their business as now being conducted. Each of the Company and its Subsidiaries is duly qualified as a foreign corporation or limited liability company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used in this Agreement,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xml:space="preserve">” means any material adverse effect on any of: (i) the business, properties, assets, operations, results of operations or financial condition of the Company and its Subsidiaries, if any, taken as a whole, or (ii) the authority or ability of the Company to perform its obligations under the Transaction Documents. The Company has no material Subsidiaries except as set forth on </w:t>
      </w:r>
      <w:r>
        <w:rPr>
          <w:rFonts w:ascii="Times New Roman" w:cs="Times New Roman" w:eastAsia="Times New Roman" w:hAnsi="Times New Roman"/>
          <w:sz w:val="18"/>
          <w:szCs w:val="18"/>
          <w:u w:val="single" w:color="auto"/>
          <w:color w:val="auto"/>
        </w:rPr>
        <w:t>Schedule 3(a)</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 w:right="20" w:hanging="1"/>
        <w:spacing w:after="0" w:line="252" w:lineRule="auto"/>
        <w:tabs>
          <w:tab w:leader="none" w:pos="7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 Validity</w:t>
      </w:r>
      <w:r>
        <w:rPr>
          <w:rFonts w:ascii="Times New Roman" w:cs="Times New Roman" w:eastAsia="Times New Roman" w:hAnsi="Times New Roman"/>
          <w:sz w:val="18"/>
          <w:szCs w:val="18"/>
          <w:color w:val="auto"/>
        </w:rPr>
        <w:t>. (i) The Company has the requisite corporate power and authority to enter into and perform its obligations under this Agreement, and each of the other agreements entered into by the parties on the Commencement Date and attached hereto as exhibits to this Agreement (collectively,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and to issue the Securities in accordance with the terms hereof and thereof, (ii) the execution and delivery of the Transaction Documents by the Company and the consummation by it of the transactions contemplated hereby and thereby, have been duly authorized by the Company’s Board of Directors or duly authorized committee thereof, do not conflict with the Company’s Certificate of Incorporation or Bylaws (as defined below), and do not require further consent or authorization by the Company, its Board of Directors, except as set forth in this Agreement, or its stockholders, (iii) this Agreement has been, and each other Transaction Document shall be on the Commencement Date, duly executed and delivered by the Company and (iv) this Agreement constitutes, and each other Transaction Document upon its execution on behalf of the Company, shall constitute, the valid and binding obligations of the Company enforceable against the Company in accordance with their terms, except as such enforceability may be limited by (y) general principles of equity or applicable bankruptcy, insolvency, reorganization, moratorium, liquidation or similar laws relating to, or affecting generally, the enforcement of creditors’ rights and remedies and (z) public policy underlying any law, rule or regulation (including any federal or state securities law, rule or regulation) with regards to indemnification, contribution or exculpation. The Board of Directors of the Company or a duly authorized committee thereof has approved the resolutions (the “</w:t>
      </w:r>
      <w:r>
        <w:rPr>
          <w:rFonts w:ascii="Times New Roman" w:cs="Times New Roman" w:eastAsia="Times New Roman" w:hAnsi="Times New Roman"/>
          <w:sz w:val="18"/>
          <w:szCs w:val="18"/>
          <w:b w:val="1"/>
          <w:bCs w:val="1"/>
          <w:color w:val="auto"/>
        </w:rPr>
        <w:t>Signing Resolutions</w:t>
      </w:r>
      <w:r>
        <w:rPr>
          <w:rFonts w:ascii="Times New Roman" w:cs="Times New Roman" w:eastAsia="Times New Roman" w:hAnsi="Times New Roman"/>
          <w:sz w:val="18"/>
          <w:szCs w:val="18"/>
          <w:color w:val="auto"/>
        </w:rPr>
        <w:t>”) substantially in the form as set forth as Exhibit B attached hereto to authorize this Agreement and the transactions contemplated hereby. The Signing Resolutions are valid, in full force and effect and have not been modified or supplemented in any material respect. The Company has delivered to the Buyer a true and correct copy of the Signing Resolutions as approved by the Pricing Committee of the Company.</w:t>
      </w:r>
    </w:p>
    <w:p>
      <w:pPr>
        <w:spacing w:after="0" w:line="196" w:lineRule="exact"/>
        <w:rPr>
          <w:rFonts w:ascii="Times New Roman" w:cs="Times New Roman" w:eastAsia="Times New Roman" w:hAnsi="Times New Roman"/>
          <w:sz w:val="18"/>
          <w:szCs w:val="18"/>
          <w:color w:val="auto"/>
        </w:rPr>
      </w:pPr>
    </w:p>
    <w:p>
      <w:pPr>
        <w:ind w:left="1" w:right="20" w:firstLine="439"/>
        <w:spacing w:after="0" w:line="254" w:lineRule="auto"/>
        <w:tabs>
          <w:tab w:leader="none" w:pos="73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Except as disclosed in </w:t>
      </w:r>
      <w:r>
        <w:rPr>
          <w:rFonts w:ascii="Times New Roman" w:cs="Times New Roman" w:eastAsia="Times New Roman" w:hAnsi="Times New Roman"/>
          <w:sz w:val="18"/>
          <w:szCs w:val="18"/>
          <w:u w:val="single" w:color="auto"/>
          <w:color w:val="auto"/>
        </w:rPr>
        <w:t>Schedule 3(c)</w:t>
      </w:r>
      <w:r>
        <w:rPr>
          <w:rFonts w:ascii="Times New Roman" w:cs="Times New Roman" w:eastAsia="Times New Roman" w:hAnsi="Times New Roman"/>
          <w:sz w:val="18"/>
          <w:szCs w:val="18"/>
          <w:color w:val="auto"/>
        </w:rPr>
        <w:t xml:space="preserve"> or the SEC Documents, (i) no shares of the Company’s capital stock are subject to preemptive rights or any other similar rights or any liens or encumbrances suffered or permitted by the Company, (ii) there are no outstanding debt securities of the Company or any of its Subsidiaries, (iii) there are no outstanding options, warrants, scrip, rights to subscribe to, calls or commitments of any character whatsoever relating to, or securities or rights convertible into, any shares of capital stock of the Company or any of its Subsidiaries, or contracts, commitments, understandings or arrangements by which the Company or any of its Subsidiaries is or may become bound to issue additional shares of capital stock of the Company or any of its Subsidiaries or options, warrants, scrip, rights to subscribe to, calls or commitments of any character whatsoever relating to, or securities or rights convertible into, any shares of capital stock of the Company or any of its Subsidiaries, (iv) there are no material agreements or arrangements under which the Company or any of its Subsidiaries is obligated to register the sale of any of their securities under the 1933 Act (except the Agreement), (v) there are no outstanding securities or instruments of the Company or any of its Subsidiaries which contain any redemption or similar provisions, and there are no contracts,</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83820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1"/>
          </w:cols>
          <w:pgMar w:left="339" w:top="337" w:right="239" w:bottom="1440" w:gutter="0" w:footer="0" w:header="0"/>
        </w:sectPr>
      </w:pPr>
    </w:p>
    <w:bookmarkStart w:id="10" w:name="page11"/>
    <w:bookmarkEnd w:id="10"/>
    <w:p>
      <w:pPr>
        <w:ind w:right="180"/>
        <w:spacing w:after="0" w:line="256" w:lineRule="auto"/>
        <w:rPr>
          <w:sz w:val="20"/>
          <w:szCs w:val="20"/>
          <w:color w:val="auto"/>
        </w:rPr>
      </w:pPr>
      <w:r>
        <w:rPr>
          <w:rFonts w:ascii="Times New Roman" w:cs="Times New Roman" w:eastAsia="Times New Roman" w:hAnsi="Times New Roman"/>
          <w:sz w:val="18"/>
          <w:szCs w:val="18"/>
          <w:color w:val="auto"/>
        </w:rPr>
        <w:t>commitments, understandings or arrangements by which the Company or any of its Subsidiaries is or may become bound to redeem a security of the Company or any of its Subsidiaries, (vi) there are no securities or instruments containing anti-dilution or similar provisions that will be triggered by the issuance of the Securities as described in this Agreement and (vii) the Company does not have any stock appreciation rights or “phantom stock” plans or agreements or any similar plan or agreement. The Company has furnished or made available to the Buyer true and correct copies of the Company’s Certificate of Incorporation, as amended and as in effect on the date hereof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and the Company’s Bylaws, as amended and as in effect on the date hereof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60" w:firstLine="440"/>
        <w:spacing w:after="0" w:line="258" w:lineRule="auto"/>
        <w:tabs>
          <w:tab w:leader="none" w:pos="74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Securities</w:t>
      </w:r>
      <w:r>
        <w:rPr>
          <w:rFonts w:ascii="Times New Roman" w:cs="Times New Roman" w:eastAsia="Times New Roman" w:hAnsi="Times New Roman"/>
          <w:sz w:val="18"/>
          <w:szCs w:val="18"/>
          <w:color w:val="auto"/>
        </w:rPr>
        <w:t>. The Purchase Shares have been duly authorized and, upon issuance in accordance with the terms hereof, the Purchase Shares shall be (i) validly issued, fully paid and non-assessable and (ii) free from all taxes, liens and charges with respect to the issuance thereof. Upon issuance and payment therefore in accordance with the terms and conditions of this Agreement, the Purchase Shares shall be validly issued, fully paid and non-assessable and free from all taxes, liens and charges with respect to the issue thereof, with the holders being entitled to all rights accorded to a holder of Common Stock.</w:t>
      </w:r>
    </w:p>
    <w:p>
      <w:pPr>
        <w:spacing w:after="0" w:line="183" w:lineRule="exact"/>
        <w:rPr>
          <w:rFonts w:ascii="Times New Roman" w:cs="Times New Roman" w:eastAsia="Times New Roman" w:hAnsi="Times New Roman"/>
          <w:sz w:val="18"/>
          <w:szCs w:val="18"/>
          <w:color w:val="auto"/>
        </w:rPr>
      </w:pPr>
    </w:p>
    <w:p>
      <w:pPr>
        <w:ind w:firstLine="475"/>
        <w:spacing w:after="0" w:line="251" w:lineRule="auto"/>
        <w:tabs>
          <w:tab w:leader="none" w:pos="72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xml:space="preserve">. Except as disclosed in </w:t>
      </w:r>
      <w:r>
        <w:rPr>
          <w:rFonts w:ascii="Times New Roman" w:cs="Times New Roman" w:eastAsia="Times New Roman" w:hAnsi="Times New Roman"/>
          <w:sz w:val="18"/>
          <w:szCs w:val="18"/>
          <w:u w:val="single" w:color="auto"/>
          <w:color w:val="auto"/>
        </w:rPr>
        <w:t>Schedule 3(e)</w:t>
      </w:r>
      <w:r>
        <w:rPr>
          <w:rFonts w:ascii="Times New Roman" w:cs="Times New Roman" w:eastAsia="Times New Roman" w:hAnsi="Times New Roman"/>
          <w:sz w:val="18"/>
          <w:szCs w:val="18"/>
          <w:color w:val="auto"/>
        </w:rPr>
        <w:t xml:space="preserve">, the execution, delivery and performance of the Transaction Documents by the Company and the consummation by the Company of the transactions contemplated hereby and thereby (including, without limitation, the reservation for issuance and issuance of the Purchase Shares) will not (i) result in a violation of the Certificate of Incorporation, any Certificate of Designations, Preferences and Rights of any outstanding series of preferred stock of the Company or the Bylaws or (ii) conflict with, or constitute a default (or an event which with notice or lapse of time or both would become a default) under, or give to others any rights of termination, amendment, acceleration or cancellation of, any agreement, indenture or instrument to which the Company or any of its Subsidiaries is a party, or result, to the Company’s knowledge, in a violation of any law, rule, regulation, order, judgment or decree (including federal and state securities laws and regulations and the rules and regulations of the Principal Market applicable to the Company or any of its Subsidiaries) or by which any property or asset of the Company or any of its Subsidiaries is bound or affected, except in the case of conflicts, defaults, terminations, amendments, accelerations, cancellations and violations under clause (ii), which would not reasonably be expected to result in a Material Adverse Effect. Except as disclosed in </w:t>
      </w:r>
      <w:r>
        <w:rPr>
          <w:rFonts w:ascii="Times New Roman" w:cs="Times New Roman" w:eastAsia="Times New Roman" w:hAnsi="Times New Roman"/>
          <w:sz w:val="18"/>
          <w:szCs w:val="18"/>
          <w:u w:val="single" w:color="auto"/>
          <w:color w:val="auto"/>
        </w:rPr>
        <w:t>Schedule 3(e)</w:t>
      </w:r>
      <w:r>
        <w:rPr>
          <w:rFonts w:ascii="Times New Roman" w:cs="Times New Roman" w:eastAsia="Times New Roman" w:hAnsi="Times New Roman"/>
          <w:sz w:val="18"/>
          <w:szCs w:val="18"/>
          <w:color w:val="auto"/>
        </w:rPr>
        <w:t xml:space="preserve">, neither the Company nor its Subsidiaries is in violation of any term of or in default under its Certificate of Incorporation, any Certificate of Designation, Preferences and Rights of any outstanding series of preferred stock of the Company or the Bylaws or their organizational charter or bylaws, respectively. Except as disclosed in </w:t>
      </w:r>
      <w:r>
        <w:rPr>
          <w:rFonts w:ascii="Times New Roman" w:cs="Times New Roman" w:eastAsia="Times New Roman" w:hAnsi="Times New Roman"/>
          <w:sz w:val="18"/>
          <w:szCs w:val="18"/>
          <w:u w:val="single" w:color="auto"/>
          <w:color w:val="auto"/>
        </w:rPr>
        <w:t>Schedule 3(e)</w:t>
      </w:r>
      <w:r>
        <w:rPr>
          <w:rFonts w:ascii="Times New Roman" w:cs="Times New Roman" w:eastAsia="Times New Roman" w:hAnsi="Times New Roman"/>
          <w:sz w:val="18"/>
          <w:szCs w:val="18"/>
          <w:color w:val="auto"/>
        </w:rPr>
        <w:t xml:space="preserve">, neither the Company nor any of its Subsidiaries is in violation of any term of or is in default under any material contract, agreement, mortgage, indebtedness, indenture, instrument, judgment, decree or order or any statute, rule or regulation applicable to the Company or its Subsidiaries, except for possible violations, defaults, terminations or amendments that would not reasonably be expected to have a Material Adverse Effect. The business of the Company and its Subsidiaries is not being conducted, and shall not be conducted, in violation of any law, ordinance, or regulation of any governmental entity, except for possible violations, the sanctions for which either individually or in the aggregate would not reasonably be expected to have a Material Adverse Effect. Except as specifically contemplated by this Agreement, reporting obligations under the 1934 Act, or as required under the 1933 Act or applicable state securities laws or the filing of a Listing of Additional Shares Notification Form with the Principal Market, the Company is not required to obtain any consent, authorization or order of, or make any filing or registration with, any court or governmental agency or any regulatory or self-regulatory agency in order for it to execute, deliver or perform any of its obligations under or contemplated by the Transaction Documents in accordance with the terms hereof or thereof. Except as disclosed in </w:t>
      </w:r>
      <w:r>
        <w:rPr>
          <w:rFonts w:ascii="Times New Roman" w:cs="Times New Roman" w:eastAsia="Times New Roman" w:hAnsi="Times New Roman"/>
          <w:sz w:val="18"/>
          <w:szCs w:val="18"/>
          <w:u w:val="single" w:color="auto"/>
          <w:color w:val="auto"/>
        </w:rPr>
        <w:t>Schedule 3(e)</w:t>
      </w:r>
      <w:r>
        <w:rPr>
          <w:rFonts w:ascii="Times New Roman" w:cs="Times New Roman" w:eastAsia="Times New Roman" w:hAnsi="Times New Roman"/>
          <w:sz w:val="18"/>
          <w:szCs w:val="18"/>
          <w:color w:val="auto"/>
        </w:rPr>
        <w:t xml:space="preserve"> and for reporting obligations under the 1934 Act, all consents, authorizations, orders, filings and registrations which the Company is required to obtain pursuant to the preceding sentence shall be obtained or effected on or prior to the Commencement Date. Except as disclosed in </w:t>
      </w:r>
      <w:r>
        <w:rPr>
          <w:rFonts w:ascii="Times New Roman" w:cs="Times New Roman" w:eastAsia="Times New Roman" w:hAnsi="Times New Roman"/>
          <w:sz w:val="18"/>
          <w:szCs w:val="18"/>
          <w:u w:val="single" w:color="auto"/>
          <w:color w:val="auto"/>
        </w:rPr>
        <w:t>Schedule 3(e)</w:t>
      </w:r>
      <w:r>
        <w:rPr>
          <w:rFonts w:ascii="Times New Roman" w:cs="Times New Roman" w:eastAsia="Times New Roman" w:hAnsi="Times New Roman"/>
          <w:sz w:val="18"/>
          <w:szCs w:val="18"/>
          <w:color w:val="auto"/>
        </w:rPr>
        <w:t>, the Company is not subject to any notices or actions from or to the Principal Market other than routine matters incident to listing on the Principal Market and not</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83820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340" w:top="337" w:right="259" w:bottom="1440" w:gutter="0" w:footer="0" w:header="0"/>
        </w:sectPr>
      </w:pPr>
    </w:p>
    <w:bookmarkStart w:id="11" w:name="page12"/>
    <w:bookmarkEnd w:id="11"/>
    <w:p>
      <w:pPr>
        <w:ind w:right="200"/>
        <w:spacing w:after="0" w:line="282" w:lineRule="auto"/>
        <w:rPr>
          <w:sz w:val="20"/>
          <w:szCs w:val="20"/>
          <w:color w:val="auto"/>
        </w:rPr>
      </w:pPr>
      <w:r>
        <w:rPr>
          <w:rFonts w:ascii="Times New Roman" w:cs="Times New Roman" w:eastAsia="Times New Roman" w:hAnsi="Times New Roman"/>
          <w:sz w:val="18"/>
          <w:szCs w:val="18"/>
          <w:color w:val="auto"/>
        </w:rPr>
        <w:t xml:space="preserve">involving a violation of the rules of the Principal Market. Except as disclosed in </w:t>
      </w:r>
      <w:r>
        <w:rPr>
          <w:rFonts w:ascii="Times New Roman" w:cs="Times New Roman" w:eastAsia="Times New Roman" w:hAnsi="Times New Roman"/>
          <w:sz w:val="18"/>
          <w:szCs w:val="18"/>
          <w:u w:val="single" w:color="auto"/>
          <w:color w:val="auto"/>
        </w:rPr>
        <w:t>Schedule 3(e)</w:t>
      </w:r>
      <w:r>
        <w:rPr>
          <w:rFonts w:ascii="Times New Roman" w:cs="Times New Roman" w:eastAsia="Times New Roman" w:hAnsi="Times New Roman"/>
          <w:sz w:val="18"/>
          <w:szCs w:val="18"/>
          <w:color w:val="auto"/>
        </w:rPr>
        <w:t>, to the Company’s knowledge, the Principal Market has not commenced any delisting proceedings against the Company.</w:t>
      </w:r>
    </w:p>
    <w:p>
      <w:pPr>
        <w:spacing w:after="0" w:line="162" w:lineRule="exact"/>
        <w:rPr>
          <w:sz w:val="20"/>
          <w:szCs w:val="20"/>
          <w:color w:val="auto"/>
        </w:rPr>
      </w:pPr>
    </w:p>
    <w:p>
      <w:pPr>
        <w:ind w:firstLine="489"/>
        <w:spacing w:after="0" w:line="252" w:lineRule="auto"/>
        <w:tabs>
          <w:tab w:leader="none" w:pos="71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Documents; Financial Statements</w:t>
      </w:r>
      <w:r>
        <w:rPr>
          <w:rFonts w:ascii="Times New Roman" w:cs="Times New Roman" w:eastAsia="Times New Roman" w:hAnsi="Times New Roman"/>
          <w:sz w:val="18"/>
          <w:szCs w:val="18"/>
          <w:color w:val="auto"/>
        </w:rPr>
        <w:t xml:space="preserve">. Except as disclosed in </w:t>
      </w:r>
      <w:r>
        <w:rPr>
          <w:rFonts w:ascii="Times New Roman" w:cs="Times New Roman" w:eastAsia="Times New Roman" w:hAnsi="Times New Roman"/>
          <w:sz w:val="18"/>
          <w:szCs w:val="18"/>
          <w:u w:val="single" w:color="auto"/>
          <w:color w:val="auto"/>
        </w:rPr>
        <w:t>Schedule 3(f)</w:t>
      </w:r>
      <w:r>
        <w:rPr>
          <w:rFonts w:ascii="Times New Roman" w:cs="Times New Roman" w:eastAsia="Times New Roman" w:hAnsi="Times New Roman"/>
          <w:sz w:val="18"/>
          <w:szCs w:val="18"/>
          <w:color w:val="auto"/>
        </w:rPr>
        <w:t>, the Company has filed all reports, schedules, forms, statements and other documents required to be filed by it with the SEC pursuant to the reporting requirements of the 1933 Act or 1934 Act (all of the foregoing filed prior to the date hereof and all exhibits included therein and financial statements and schedules thereto and documents incorporated by reference therein being hereinafter referred to as the “</w:t>
      </w:r>
      <w:r>
        <w:rPr>
          <w:rFonts w:ascii="Times New Roman" w:cs="Times New Roman" w:eastAsia="Times New Roman" w:hAnsi="Times New Roman"/>
          <w:sz w:val="18"/>
          <w:szCs w:val="18"/>
          <w:b w:val="1"/>
          <w:bCs w:val="1"/>
          <w:color w:val="auto"/>
        </w:rPr>
        <w:t>SEC Documents</w:t>
      </w:r>
      <w:r>
        <w:rPr>
          <w:rFonts w:ascii="Times New Roman" w:cs="Times New Roman" w:eastAsia="Times New Roman" w:hAnsi="Times New Roman"/>
          <w:sz w:val="18"/>
          <w:szCs w:val="18"/>
          <w:color w:val="auto"/>
        </w:rPr>
        <w:t xml:space="preserve">”). As of their respective dates (except as they have been correctly amended), the SEC Documents complied in all material respects with the requirements of the 1933 Act and 1934 Act and the rules and regulations of the SEC promulgated thereunder applicable to the SEC Documents, and none of the SEC Documents, at the time they were filed with the SEC (except as they may have been properly amended), contained any untrue statement of a material fact or omitted to state a material fact required to be stated therein or necessary in order to make the statements therein, in light of the circumstances under which they were made, not misleading. As of their respective dates (except as they have been properly amended),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Except as disclosed in </w:t>
      </w:r>
      <w:r>
        <w:rPr>
          <w:rFonts w:ascii="Times New Roman" w:cs="Times New Roman" w:eastAsia="Times New Roman" w:hAnsi="Times New Roman"/>
          <w:sz w:val="18"/>
          <w:szCs w:val="18"/>
          <w:u w:val="single" w:color="auto"/>
          <w:color w:val="auto"/>
        </w:rPr>
        <w:t>Schedule 3(f)</w:t>
      </w:r>
      <w:r>
        <w:rPr>
          <w:rFonts w:ascii="Times New Roman" w:cs="Times New Roman" w:eastAsia="Times New Roman" w:hAnsi="Times New Roman"/>
          <w:sz w:val="18"/>
          <w:szCs w:val="18"/>
          <w:color w:val="auto"/>
        </w:rPr>
        <w:t xml:space="preserve"> or routine correspondence, such as comment letters and notices of effectiveness in connection with previously filed registration statements or periodic reports publicly available on EDGAR, to the Company’s knowledge, the Company or any of its Subsidiaries are not presently the subject of any inquiry, investigation or action by the SEC.</w:t>
      </w:r>
    </w:p>
    <w:p>
      <w:pPr>
        <w:spacing w:after="0" w:line="194" w:lineRule="exact"/>
        <w:rPr>
          <w:rFonts w:ascii="Times New Roman" w:cs="Times New Roman" w:eastAsia="Times New Roman" w:hAnsi="Times New Roman"/>
          <w:sz w:val="18"/>
          <w:szCs w:val="18"/>
          <w:color w:val="auto"/>
        </w:rPr>
      </w:pPr>
    </w:p>
    <w:p>
      <w:pPr>
        <w:ind w:right="100" w:firstLine="489"/>
        <w:spacing w:after="0" w:line="255" w:lineRule="auto"/>
        <w:tabs>
          <w:tab w:leader="none" w:pos="74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xml:space="preserve">. Except as disclosed in </w:t>
      </w:r>
      <w:r>
        <w:rPr>
          <w:rFonts w:ascii="Times New Roman" w:cs="Times New Roman" w:eastAsia="Times New Roman" w:hAnsi="Times New Roman"/>
          <w:sz w:val="18"/>
          <w:szCs w:val="18"/>
          <w:u w:val="single" w:color="auto"/>
          <w:color w:val="auto"/>
        </w:rPr>
        <w:t>Schedule 3(g)</w:t>
      </w:r>
      <w:r>
        <w:rPr>
          <w:rFonts w:ascii="Times New Roman" w:cs="Times New Roman" w:eastAsia="Times New Roman" w:hAnsi="Times New Roman"/>
          <w:sz w:val="18"/>
          <w:szCs w:val="18"/>
          <w:color w:val="auto"/>
        </w:rPr>
        <w:t xml:space="preserve"> or the SEC Documents, since December 31, 2018, there has been no material adverse change in the business, properties, operations, financial condition or results of operations of the Company or its Subsidiaries taken as a whole. For purposes of this Agreement, neither a decrease in cash or cash equivalents or in the market price of the Common Stock nor losses incurred in the ordinary course of the Company’s business shall be deemed or considered a material adverse change. The Company has not taken any steps, and does not currently expect to take any steps, to seek protection pursuant to any Bankruptcy Law nor does the Company or any of its Subsidiaries have any knowledge or reason to believe that its creditors intend to initiate involuntary bankruptcy or insolvency proceedings. The Company is financially solvent and is generally able to pay its debts as they become due</w:t>
      </w:r>
      <w:r>
        <w:rPr>
          <w:rFonts w:ascii="Times New Roman" w:cs="Times New Roman" w:eastAsia="Times New Roman" w:hAnsi="Times New Roman"/>
          <w:sz w:val="18"/>
          <w:szCs w:val="18"/>
          <w:b w:val="1"/>
          <w:bCs w:val="1"/>
          <w:color w:val="auto"/>
        </w:rPr>
        <w:t>.</w:t>
      </w:r>
    </w:p>
    <w:p>
      <w:pPr>
        <w:spacing w:after="0" w:line="189" w:lineRule="exact"/>
        <w:rPr>
          <w:rFonts w:ascii="Times New Roman" w:cs="Times New Roman" w:eastAsia="Times New Roman" w:hAnsi="Times New Roman"/>
          <w:sz w:val="18"/>
          <w:szCs w:val="18"/>
          <w:color w:val="auto"/>
        </w:rPr>
      </w:pPr>
    </w:p>
    <w:p>
      <w:pPr>
        <w:ind w:right="20" w:firstLine="439"/>
        <w:spacing w:after="0" w:line="258" w:lineRule="auto"/>
        <w:tabs>
          <w:tab w:leader="none" w:pos="7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xml:space="preserve">. Except as disclosed in </w:t>
      </w:r>
      <w:r>
        <w:rPr>
          <w:rFonts w:ascii="Times New Roman" w:cs="Times New Roman" w:eastAsia="Times New Roman" w:hAnsi="Times New Roman"/>
          <w:sz w:val="18"/>
          <w:szCs w:val="18"/>
          <w:u w:val="single" w:color="auto"/>
          <w:color w:val="auto"/>
        </w:rPr>
        <w:t>Schedule 3(h)</w:t>
      </w:r>
      <w:r>
        <w:rPr>
          <w:rFonts w:ascii="Times New Roman" w:cs="Times New Roman" w:eastAsia="Times New Roman" w:hAnsi="Times New Roman"/>
          <w:sz w:val="18"/>
          <w:szCs w:val="18"/>
          <w:color w:val="auto"/>
        </w:rPr>
        <w:t>, to the Company’s knowledge, there is no action, suit, proceeding, inquiry or investigation before or by any court, public board, government agency, self-regulatory organization or body pending or, to the knowledge of the Company or any of its Subsidiaries, threatened against the Company, the Common Stock or any of the Company’s Subsidiaries or any of the Company’s or the Company’s Subsidiaries’ officers or directors in their capacities as such, which would reasonably be expected to have a Material Adverse Effect (each, an “</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xml:space="preserve">”). A description of each such Action, if any, is set forth in </w:t>
      </w:r>
      <w:r>
        <w:rPr>
          <w:rFonts w:ascii="Times New Roman" w:cs="Times New Roman" w:eastAsia="Times New Roman" w:hAnsi="Times New Roman"/>
          <w:sz w:val="18"/>
          <w:szCs w:val="18"/>
          <w:u w:val="single" w:color="auto"/>
          <w:color w:val="auto"/>
        </w:rPr>
        <w:t>Schedule 3(h)</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80" w:firstLine="439"/>
        <w:spacing w:after="0" w:line="266" w:lineRule="auto"/>
        <w:tabs>
          <w:tab w:leader="none" w:pos="70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Buyer’s Status</w:t>
      </w:r>
      <w:r>
        <w:rPr>
          <w:rFonts w:ascii="Times New Roman" w:cs="Times New Roman" w:eastAsia="Times New Roman" w:hAnsi="Times New Roman"/>
          <w:sz w:val="18"/>
          <w:szCs w:val="18"/>
          <w:color w:val="auto"/>
        </w:rPr>
        <w:t xml:space="preserve"> . The Company acknowledges and agrees that the Buyer is acting solely in the capacity of arm’s length purchaser with respect to the Transaction Documents and the transactions contemplated hereby and thereby. The Company further acknowledges that the Buyer is not acting as a financial advisor or fiduciary of the Company (or in any similar capacity)</w:t>
      </w:r>
    </w:p>
    <w:p>
      <w:pPr>
        <w:spacing w:after="0" w:line="1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83820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340" w:top="337" w:right="239" w:bottom="1440" w:gutter="0" w:footer="0" w:header="0"/>
        </w:sectPr>
      </w:pPr>
    </w:p>
    <w:bookmarkStart w:id="12" w:name="page13"/>
    <w:bookmarkEnd w:id="12"/>
    <w:p>
      <w:pPr>
        <w:ind w:right="180"/>
        <w:spacing w:after="0" w:line="261" w:lineRule="auto"/>
        <w:rPr>
          <w:sz w:val="20"/>
          <w:szCs w:val="20"/>
          <w:color w:val="auto"/>
        </w:rPr>
      </w:pPr>
      <w:r>
        <w:rPr>
          <w:rFonts w:ascii="Times New Roman" w:cs="Times New Roman" w:eastAsia="Times New Roman" w:hAnsi="Times New Roman"/>
          <w:sz w:val="18"/>
          <w:szCs w:val="18"/>
          <w:color w:val="auto"/>
        </w:rPr>
        <w:t>with respect to the Transaction Documents and the transactions contemplated hereby and thereby and any advice given by the Buyer or any of its representatives or agents in connection with the Transaction Documents and the transactions contemplated hereby and thereby is merely incidental to the Buyer’s purchase of the Securities. The Company further represents to the Buyer that the Company’s decision to enter into the Transaction Documents has been based solely on the independent evaluation by the Company and its representatives and advisors.</w:t>
      </w:r>
    </w:p>
    <w:p>
      <w:pPr>
        <w:spacing w:after="0" w:line="180" w:lineRule="exact"/>
        <w:rPr>
          <w:sz w:val="20"/>
          <w:szCs w:val="20"/>
          <w:color w:val="auto"/>
        </w:rPr>
      </w:pPr>
    </w:p>
    <w:p>
      <w:pPr>
        <w:ind w:firstLine="439"/>
        <w:spacing w:after="0" w:line="254" w:lineRule="auto"/>
        <w:tabs>
          <w:tab w:leader="none" w:pos="70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To the Company’s knowledge, the Company and its Subsidiaries own or possess adequate rights or licenses to use all material trademarks, trade names, service marks, service mark registrations, service names, patents, patent rights, copyrights, inventions, licenses, approvals, governmental authorizations, trade secrets and other intellectual property rights (collectively,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xml:space="preserve">”) necessary to conduct their respective businesses as now conducted, except as set forth in </w:t>
      </w:r>
      <w:r>
        <w:rPr>
          <w:rFonts w:ascii="Times New Roman" w:cs="Times New Roman" w:eastAsia="Times New Roman" w:hAnsi="Times New Roman"/>
          <w:sz w:val="18"/>
          <w:szCs w:val="18"/>
          <w:u w:val="single" w:color="auto"/>
          <w:color w:val="auto"/>
        </w:rPr>
        <w:t>Schedule 3(j)</w:t>
      </w:r>
      <w:r>
        <w:rPr>
          <w:rFonts w:ascii="Times New Roman" w:cs="Times New Roman" w:eastAsia="Times New Roman" w:hAnsi="Times New Roman"/>
          <w:sz w:val="18"/>
          <w:szCs w:val="18"/>
          <w:color w:val="auto"/>
        </w:rPr>
        <w:t xml:space="preserve"> or to the extent that the failure to own, possess, license or otherwise hold adequate rights to use Intellectual Property would not, individually or in the aggregate, have a Material Adverse Effect. Except as disclosed in </w:t>
      </w:r>
      <w:r>
        <w:rPr>
          <w:rFonts w:ascii="Times New Roman" w:cs="Times New Roman" w:eastAsia="Times New Roman" w:hAnsi="Times New Roman"/>
          <w:sz w:val="18"/>
          <w:szCs w:val="18"/>
          <w:u w:val="single" w:color="auto"/>
          <w:color w:val="auto"/>
        </w:rPr>
        <w:t>Schedule 3(j)</w:t>
      </w:r>
      <w:r>
        <w:rPr>
          <w:rFonts w:ascii="Times New Roman" w:cs="Times New Roman" w:eastAsia="Times New Roman" w:hAnsi="Times New Roman"/>
          <w:sz w:val="18"/>
          <w:szCs w:val="18"/>
          <w:color w:val="auto"/>
        </w:rPr>
        <w:t xml:space="preserve">, to the Company’s knowledge, none of the Company’s active and registered Intellectual Property have expired or terminated, or, by the terms and conditions thereof, will expire or terminate within two years from the date of this Agreement, except as would not reasonably be expected to have a Material Adverse Effect. The Company and its Subsidiaries do not have any knowledge of any infringement by the Company or its Subsidiaries of any Intellectual Property of others and, except as set forth on </w:t>
      </w:r>
      <w:r>
        <w:rPr>
          <w:rFonts w:ascii="Times New Roman" w:cs="Times New Roman" w:eastAsia="Times New Roman" w:hAnsi="Times New Roman"/>
          <w:sz w:val="18"/>
          <w:szCs w:val="18"/>
          <w:u w:val="single" w:color="auto"/>
          <w:color w:val="auto"/>
        </w:rPr>
        <w:t>Schedule 3(j)</w:t>
      </w:r>
      <w:r>
        <w:rPr>
          <w:rFonts w:ascii="Times New Roman" w:cs="Times New Roman" w:eastAsia="Times New Roman" w:hAnsi="Times New Roman"/>
          <w:sz w:val="18"/>
          <w:szCs w:val="18"/>
          <w:color w:val="auto"/>
        </w:rPr>
        <w:t>, there is no claim, action or proceeding being made or brought against, or to the Company’s knowledge, being threatened against, the Company or its Subsidiaries regarding Intellectual Property, which could reasonably be expected to have a Material Adverse Effect.</w:t>
      </w:r>
    </w:p>
    <w:p>
      <w:pPr>
        <w:spacing w:after="0" w:line="186" w:lineRule="exact"/>
        <w:rPr>
          <w:rFonts w:ascii="Times New Roman" w:cs="Times New Roman" w:eastAsia="Times New Roman" w:hAnsi="Times New Roman"/>
          <w:sz w:val="18"/>
          <w:szCs w:val="18"/>
          <w:color w:val="auto"/>
        </w:rPr>
      </w:pPr>
    </w:p>
    <w:p>
      <w:pPr>
        <w:ind w:right="160" w:firstLine="439"/>
        <w:spacing w:after="0" w:line="256" w:lineRule="auto"/>
        <w:tabs>
          <w:tab w:leader="none" w:pos="74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To the Company’s knowledge, the Company and its Subsidiaries (i) are in material compliance with any and all applicable foreign, federal, state and local laws and regulations relating to the protection of human health and safety or the environment and with respect to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have received all material permits, licenses or other approvals required of them under applicable Environmental Laws to conduct their respective businesses and (iii) are in material compliance with all terms and conditions of any such permit, license or approval, except where, in each of the three foregoing clauses, the failure to so comply or receive such approvals would not reasonably be expected to have, individually or in the aggregate, a Material Adverse Effect.</w:t>
      </w:r>
    </w:p>
    <w:p>
      <w:pPr>
        <w:spacing w:after="0" w:line="187" w:lineRule="exact"/>
        <w:rPr>
          <w:rFonts w:ascii="Times New Roman" w:cs="Times New Roman" w:eastAsia="Times New Roman" w:hAnsi="Times New Roman"/>
          <w:sz w:val="18"/>
          <w:szCs w:val="18"/>
          <w:color w:val="auto"/>
        </w:rPr>
      </w:pPr>
    </w:p>
    <w:p>
      <w:pPr>
        <w:ind w:right="100" w:firstLine="440"/>
        <w:spacing w:after="0" w:line="255" w:lineRule="auto"/>
        <w:tabs>
          <w:tab w:leader="none" w:pos="70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xml:space="preserve">. The Company and its Subsidiaries have good and marketable title to all personal property owned by them that is material to the business of the Company and its Subsidiaries, in each case free and clear of all liens, encumbrances and defects except such as are described in </w:t>
      </w:r>
      <w:r>
        <w:rPr>
          <w:rFonts w:ascii="Times New Roman" w:cs="Times New Roman" w:eastAsia="Times New Roman" w:hAnsi="Times New Roman"/>
          <w:sz w:val="18"/>
          <w:szCs w:val="18"/>
          <w:u w:val="single" w:color="auto"/>
          <w:color w:val="auto"/>
        </w:rPr>
        <w:t>Schedule 3(l)</w:t>
      </w:r>
      <w:r>
        <w:rPr>
          <w:rFonts w:ascii="Times New Roman" w:cs="Times New Roman" w:eastAsia="Times New Roman" w:hAnsi="Times New Roman"/>
          <w:sz w:val="18"/>
          <w:szCs w:val="18"/>
          <w:color w:val="auto"/>
        </w:rPr>
        <w:t xml:space="preserve"> or such as do not materially affect the value of such property and do not interfere with the use made and proposed to be made of such property by the Company and any of its Subsidiaries or would not reasonably be expected to have, individually or in the aggregate, a Material Adverse Effect. Any real property and facilities held under lease by the Company and any of its Subsidiaries, to the Company’s knowledge, are held by them under valid, subsisting and enforceable leases with such exceptions as are not material and do not interfere with the use made and proposed to be made of such property and buildings by the Company and its Subsidiaries.</w:t>
      </w:r>
    </w:p>
    <w:p>
      <w:pPr>
        <w:spacing w:after="0" w:line="189" w:lineRule="exact"/>
        <w:rPr>
          <w:rFonts w:ascii="Times New Roman" w:cs="Times New Roman" w:eastAsia="Times New Roman" w:hAnsi="Times New Roman"/>
          <w:sz w:val="18"/>
          <w:szCs w:val="18"/>
          <w:color w:val="auto"/>
        </w:rPr>
      </w:pPr>
    </w:p>
    <w:p>
      <w:pPr>
        <w:ind w:firstLine="439"/>
        <w:spacing w:after="0" w:line="256" w:lineRule="auto"/>
        <w:tabs>
          <w:tab w:leader="none" w:pos="79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are insured by insurers of recognized financial responsibility against such losses and risks and in such amounts as management of the Company believes to be reasonable and customary in the businesses in which the Company and its Subsidiaries are engaged. To the Company’s knowledge, neither the Company nor any such Subsidiary has been refused any insurance coverage sought or applied for and neither the Company nor any such Subsidiary, to the Company’s knowledge, will be unable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87" w:lineRule="exact"/>
        <w:rPr>
          <w:rFonts w:ascii="Times New Roman" w:cs="Times New Roman" w:eastAsia="Times New Roman" w:hAnsi="Times New Roman"/>
          <w:sz w:val="18"/>
          <w:szCs w:val="18"/>
          <w:color w:val="auto"/>
        </w:rPr>
      </w:pPr>
    </w:p>
    <w:p>
      <w:pPr>
        <w:ind w:right="500" w:firstLine="439"/>
        <w:spacing w:after="0" w:line="282" w:lineRule="auto"/>
        <w:tabs>
          <w:tab w:leader="none" w:pos="74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its Subsidiaries possess all material certificates, authorizations and permits issued by the appropriate federal, state or foreign regulatory authorities</w:t>
      </w:r>
    </w:p>
    <w:p>
      <w:pPr>
        <w:spacing w:after="0" w:line="1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340" w:top="337" w:right="239" w:bottom="1440" w:gutter="0" w:footer="0" w:header="0"/>
        </w:sectPr>
      </w:pPr>
    </w:p>
    <w:bookmarkStart w:id="13" w:name="page14"/>
    <w:bookmarkEnd w:id="13"/>
    <w:p>
      <w:pPr>
        <w:ind w:right="20"/>
        <w:spacing w:after="0" w:line="282" w:lineRule="auto"/>
        <w:rPr>
          <w:sz w:val="20"/>
          <w:szCs w:val="20"/>
          <w:color w:val="auto"/>
        </w:rPr>
      </w:pPr>
      <w:r>
        <w:rPr>
          <w:rFonts w:ascii="Times New Roman" w:cs="Times New Roman" w:eastAsia="Times New Roman" w:hAnsi="Times New Roman"/>
          <w:sz w:val="18"/>
          <w:szCs w:val="18"/>
          <w:color w:val="auto"/>
        </w:rPr>
        <w:t>necessary to conduct their respective businesses as currently conducted, and neither the Company nor any such Subsidiary has received any written notice of proceedings relating to the revocation or modification of any such material certificate, authorization or permit.</w:t>
      </w:r>
    </w:p>
    <w:p>
      <w:pPr>
        <w:spacing w:after="0" w:line="162" w:lineRule="exact"/>
        <w:rPr>
          <w:sz w:val="20"/>
          <w:szCs w:val="20"/>
          <w:color w:val="auto"/>
        </w:rPr>
      </w:pPr>
    </w:p>
    <w:p>
      <w:pPr>
        <w:ind w:firstLine="439"/>
        <w:spacing w:after="0" w:line="255" w:lineRule="auto"/>
        <w:tabs>
          <w:tab w:leader="none" w:pos="74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The Company and each of its Subsidiaries has made or filed all federal and state income and all other material tax returns, reports and declarations required by any jurisdiction to which it is subject (unless and only to the extent that the Company and each of its Subsidiaries has set aside on its books reserves reasonably adequate for the payment of all unpaid and unreported taxes or filed valid extensions) and has paid all taxes and other governmental assessments and charges that are material in amount, shown or determined to be due on such returns, reports and declarations, except those being contested in good faith and has set aside on its books reserves reasonably adequate for the payment of all taxes for periods subsequent to the periods to which such returns, reports or declarations apply. To the Company’s knowledge, there are no unpaid taxes in any material amount claimed to be due by the taxing authority of any jurisdiction.</w:t>
      </w:r>
    </w:p>
    <w:p>
      <w:pPr>
        <w:spacing w:after="0" w:line="189" w:lineRule="exact"/>
        <w:rPr>
          <w:rFonts w:ascii="Times New Roman" w:cs="Times New Roman" w:eastAsia="Times New Roman" w:hAnsi="Times New Roman"/>
          <w:sz w:val="18"/>
          <w:szCs w:val="18"/>
          <w:color w:val="auto"/>
        </w:rPr>
      </w:pPr>
    </w:p>
    <w:p>
      <w:pPr>
        <w:ind w:right="40" w:firstLine="439"/>
        <w:spacing w:after="0" w:line="255" w:lineRule="auto"/>
        <w:tabs>
          <w:tab w:leader="none" w:pos="74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3(p)</w:t>
      </w:r>
      <w:r>
        <w:rPr>
          <w:rFonts w:ascii="Times New Roman" w:cs="Times New Roman" w:eastAsia="Times New Roman" w:hAnsi="Times New Roman"/>
          <w:sz w:val="18"/>
          <w:szCs w:val="18"/>
          <w:color w:val="auto"/>
        </w:rPr>
        <w:t xml:space="preserve"> or in the SEC Documents and other than the grant or exercise of stock options or any other equity securities offered pursuant to duly adopted stock or incentive compensation plans as disclosed on </w:t>
      </w:r>
      <w:r>
        <w:rPr>
          <w:rFonts w:ascii="Times New Roman" w:cs="Times New Roman" w:eastAsia="Times New Roman" w:hAnsi="Times New Roman"/>
          <w:sz w:val="18"/>
          <w:szCs w:val="18"/>
          <w:u w:val="single" w:color="auto"/>
          <w:color w:val="auto"/>
        </w:rPr>
        <w:t>Schedule 3(c)</w:t>
      </w:r>
      <w:r>
        <w:rPr>
          <w:rFonts w:ascii="Times New Roman" w:cs="Times New Roman" w:eastAsia="Times New Roman" w:hAnsi="Times New Roman"/>
          <w:sz w:val="18"/>
          <w:szCs w:val="18"/>
          <w:color w:val="auto"/>
        </w:rPr>
        <w:t xml:space="preserve"> or in the SEC Documents, none of the officers, directors or employees of the Company is presently a party to any transaction with the Company or any of its Subsidiaries (other than for services as employees, officers and directors and reimbursement for expenses incurred on behalf of the Company),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corporation, partnership, trust or other entity in which any officer, director, or any such employee has a material interest or is an officer, director, trustee or general partner.</w:t>
      </w:r>
    </w:p>
    <w:p>
      <w:pPr>
        <w:spacing w:after="0" w:line="189" w:lineRule="exact"/>
        <w:rPr>
          <w:rFonts w:ascii="Times New Roman" w:cs="Times New Roman" w:eastAsia="Times New Roman" w:hAnsi="Times New Roman"/>
          <w:sz w:val="18"/>
          <w:szCs w:val="18"/>
          <w:color w:val="auto"/>
        </w:rPr>
      </w:pPr>
    </w:p>
    <w:p>
      <w:pPr>
        <w:ind w:right="40" w:firstLine="475"/>
        <w:spacing w:after="0" w:line="258" w:lineRule="auto"/>
        <w:tabs>
          <w:tab w:leader="none" w:pos="73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its board of directors have taken or will take prior to the Commencement Date all necessary action, if any, in order to render inapplicable any control share acquisition, business combination, poison pill (including any distribution under a rights agreement) or other similar anti-takeover provision under the Certificate of Incorporation or the laws of the state of its incorporation, other than Section 203 of the Delaware General Corporation Law, which is or could become applicable to the Buyer as a result of the transactions contemplated by this Agreement, including, without limitation, the Company’s issuance of the Securities and the Buyer’s ownership of the Securities.</w:t>
      </w:r>
    </w:p>
    <w:p>
      <w:pPr>
        <w:spacing w:after="0" w:line="184" w:lineRule="exact"/>
        <w:rPr>
          <w:sz w:val="20"/>
          <w:szCs w:val="20"/>
          <w:color w:val="auto"/>
        </w:rPr>
      </w:pPr>
    </w:p>
    <w:p>
      <w:pPr>
        <w:ind w:right="100" w:firstLine="439"/>
        <w:spacing w:after="0" w:line="281" w:lineRule="auto"/>
        <w:tabs>
          <w:tab w:leader="none" w:pos="71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xml:space="preserve">. The Existing Shelf Registration Statement (as defined in </w:t>
      </w:r>
      <w:r>
        <w:rPr>
          <w:rFonts w:ascii="Times New Roman" w:cs="Times New Roman" w:eastAsia="Times New Roman" w:hAnsi="Times New Roman"/>
          <w:sz w:val="17"/>
          <w:szCs w:val="17"/>
          <w:u w:val="single" w:color="auto"/>
          <w:color w:val="auto"/>
        </w:rPr>
        <w:t>Section 4(a)</w:t>
      </w:r>
      <w:r>
        <w:rPr>
          <w:rFonts w:ascii="Times New Roman" w:cs="Times New Roman" w:eastAsia="Times New Roman" w:hAnsi="Times New Roman"/>
          <w:sz w:val="17"/>
          <w:szCs w:val="17"/>
          <w:color w:val="auto"/>
        </w:rPr>
        <w:t xml:space="preserve"> hereof) has been declared effective by the SEC, and no stop order has been issued or is pending or, to the knowledge of the Company, threatened by the SEC with respect thereto. As of the date hereof, the Company has an amount of securities registered and unsold under the Existing Shelf Registration Statement, which is not less than the aggregate amount of Purchase Shares, excluding for the avoidance of doubt, any Purchase Shares issuable in connection with the Company’s exercise of the Upsize Option.</w:t>
      </w:r>
    </w:p>
    <w:p>
      <w:pPr>
        <w:spacing w:after="0" w:line="160" w:lineRule="exact"/>
        <w:rPr>
          <w:rFonts w:ascii="Times New Roman" w:cs="Times New Roman" w:eastAsia="Times New Roman" w:hAnsi="Times New Roman"/>
          <w:sz w:val="17"/>
          <w:szCs w:val="17"/>
          <w:color w:val="auto"/>
        </w:rPr>
      </w:pPr>
    </w:p>
    <w:p>
      <w:pPr>
        <w:ind w:left="680" w:hanging="345"/>
        <w:spacing w:after="0"/>
        <w:tabs>
          <w:tab w:leader="none" w:pos="6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w:t>
      </w:r>
    </w:p>
    <w:p>
      <w:pPr>
        <w:spacing w:after="0" w:line="229" w:lineRule="exact"/>
        <w:rPr>
          <w:rFonts w:ascii="Times New Roman" w:cs="Times New Roman" w:eastAsia="Times New Roman" w:hAnsi="Times New Roman"/>
          <w:sz w:val="18"/>
          <w:szCs w:val="18"/>
          <w:b w:val="1"/>
          <w:bCs w:val="1"/>
          <w:color w:val="auto"/>
        </w:rPr>
      </w:pPr>
    </w:p>
    <w:p>
      <w:pPr>
        <w:ind w:firstLine="439"/>
        <w:spacing w:after="0" w:line="255" w:lineRule="auto"/>
        <w:tabs>
          <w:tab w:leader="none" w:pos="73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of Form 8-K and Prospectus Supplement</w:t>
      </w:r>
      <w:r>
        <w:rPr>
          <w:rFonts w:ascii="Times New Roman" w:cs="Times New Roman" w:eastAsia="Times New Roman" w:hAnsi="Times New Roman"/>
          <w:sz w:val="18"/>
          <w:szCs w:val="18"/>
          <w:color w:val="auto"/>
        </w:rPr>
        <w:t>. The Company agrees that it shall, within the time required under the 1934 Act, file a Current Report on Form 8-K disclosing this Agreement and the transaction contemplated hereby if required under federal securities law. The Company shall file on the date hereof a prospectus supplement to the Company’s existing shelf registration statement on Form S-3 (File No. 333-220236, the “</w:t>
      </w:r>
      <w:r>
        <w:rPr>
          <w:rFonts w:ascii="Times New Roman" w:cs="Times New Roman" w:eastAsia="Times New Roman" w:hAnsi="Times New Roman"/>
          <w:sz w:val="18"/>
          <w:szCs w:val="18"/>
          <w:b w:val="1"/>
          <w:bCs w:val="1"/>
          <w:color w:val="auto"/>
        </w:rPr>
        <w:t>Existing Shelf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covering the sale of all or a portion of the Purchase Shares, at the Company’s sole discretion,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terms of the Agreement. The Company shall keep the Existing Shelf Registration Statement effective pursuant to Rule 415 promulgated under the 1933 Act and available for sales of all Securities issued to and/or held by the Buyer until such time as (i) it no longer qualifies to make sales under the Existing Shelf Registration Statement (which shall be understood to include the</w:t>
      </w:r>
    </w:p>
    <w:p>
      <w:pPr>
        <w:spacing w:after="0" w:line="1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83820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340" w:top="337" w:right="259" w:bottom="1440" w:gutter="0" w:footer="0" w:header="0"/>
        </w:sectPr>
      </w:pPr>
    </w:p>
    <w:bookmarkStart w:id="14" w:name="page15"/>
    <w:bookmarkEnd w:id="14"/>
    <w:p>
      <w:pPr>
        <w:ind w:left="40"/>
        <w:spacing w:after="0" w:line="256" w:lineRule="auto"/>
        <w:rPr>
          <w:sz w:val="20"/>
          <w:szCs w:val="20"/>
          <w:color w:val="auto"/>
        </w:rPr>
      </w:pPr>
      <w:r>
        <w:rPr>
          <w:rFonts w:ascii="Times New Roman" w:cs="Times New Roman" w:eastAsia="Times New Roman" w:hAnsi="Times New Roman"/>
          <w:sz w:val="18"/>
          <w:szCs w:val="18"/>
          <w:color w:val="auto"/>
        </w:rPr>
        <w:t>inability of the Company to immediately register sales of Securities to the Buyer under the Existing Shelf Registration Statement or any new registration statement pursuant to General Instruction I.B.6 of Form S-3), (ii) the date on which all the Securities have been sold under this Agreement or (iii) the date that is 30 days after the termination of this Agreement. The Existing Shelf Registration Statement (including any amendments or supplements thereto and prospectuses or prospectus supplements, including the Prospectus Supplement, contained therein) shall not contain any untrue statement of a material fact or omit to state a material fact required to be stated therein, or necessary to make the statements therein, in light of the circumstances in which they were made, not misleading.</w:t>
      </w:r>
    </w:p>
    <w:p>
      <w:pPr>
        <w:spacing w:after="0" w:line="188" w:lineRule="exact"/>
        <w:rPr>
          <w:sz w:val="20"/>
          <w:szCs w:val="20"/>
          <w:color w:val="auto"/>
        </w:rPr>
      </w:pPr>
    </w:p>
    <w:p>
      <w:pPr>
        <w:ind w:left="40" w:right="60" w:firstLine="439"/>
        <w:spacing w:after="0" w:line="261" w:lineRule="auto"/>
        <w:tabs>
          <w:tab w:leader="none" w:pos="78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w:t>
      </w:r>
      <w:r>
        <w:rPr>
          <w:rFonts w:ascii="Times New Roman" w:cs="Times New Roman" w:eastAsia="Times New Roman" w:hAnsi="Times New Roman"/>
          <w:sz w:val="18"/>
          <w:szCs w:val="18"/>
          <w:color w:val="auto"/>
        </w:rPr>
        <w:t>. The Company shall take such action, if any, as is reasonably necessary in order to obtain an exemption for or to qualify (i) the initial sale of the Securities to the Buyer under this Agreement and (ii) any subsequent sale of the Securities by the Buyer, in each case, under applicable securities or “Blue Sky” laws of the states of the United States in such states as is reasonably requested by the Buyer from time to time, and shall provide evidence of any such action so taken to the Buyer.</w:t>
      </w:r>
    </w:p>
    <w:p>
      <w:pPr>
        <w:spacing w:after="0" w:line="180" w:lineRule="exact"/>
        <w:rPr>
          <w:rFonts w:ascii="Times New Roman" w:cs="Times New Roman" w:eastAsia="Times New Roman" w:hAnsi="Times New Roman"/>
          <w:sz w:val="18"/>
          <w:szCs w:val="18"/>
          <w:color w:val="auto"/>
        </w:rPr>
      </w:pPr>
    </w:p>
    <w:p>
      <w:pPr>
        <w:ind w:left="40" w:right="120" w:firstLine="439"/>
        <w:spacing w:after="0" w:line="255" w:lineRule="auto"/>
        <w:tabs>
          <w:tab w:leader="none" w:pos="77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promptly secure the listing of all of the Securities upon each national securities exchange and automated quotation system that requires an application by the Company for listing, if any, upon which shares of Common Stock are then listed (subject to official notice of issuance) and shall maintain such listing, so long as any other shares of Common Stock shall be so listed. The Company shall use its commercially reasonable efforts to maintain the Common Stock’s listing on the Principal Market. Neither the Company nor any of its Subsidiaries shall take any action that would be reasonably expected to result in the delisting or suspension of the Common Stock on the Principal Market, unless the Common Stock is immediately thereafter traded on the New York Stock Exchange, the NYSE American, the NASDAQ Global Select Market, the NASDAQ Capital Market, or the OTCQB or OTCQX market places of the OTC Markets. The Company shall pay all fees and expenses in connection with satisfying its obligations under this Section.</w:t>
      </w:r>
    </w:p>
    <w:p>
      <w:pPr>
        <w:spacing w:after="0" w:line="185" w:lineRule="exact"/>
        <w:rPr>
          <w:rFonts w:ascii="Times New Roman" w:cs="Times New Roman" w:eastAsia="Times New Roman" w:hAnsi="Times New Roman"/>
          <w:sz w:val="18"/>
          <w:szCs w:val="18"/>
          <w:color w:val="auto"/>
        </w:rPr>
      </w:pPr>
    </w:p>
    <w:p>
      <w:pPr>
        <w:ind w:left="780" w:hanging="301"/>
        <w:spacing w:after="0"/>
        <w:tabs>
          <w:tab w:leader="none" w:pos="7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40" w:hanging="261"/>
        <w:spacing w:after="0"/>
        <w:tabs>
          <w:tab w:leader="none" w:pos="7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0" w:right="40" w:firstLine="539"/>
        <w:spacing w:after="0" w:line="254" w:lineRule="auto"/>
        <w:tabs>
          <w:tab w:leader="none" w:pos="78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w:t>
      </w:r>
      <w:r>
        <w:rPr>
          <w:rFonts w:ascii="Times New Roman" w:cs="Times New Roman" w:eastAsia="Times New Roman" w:hAnsi="Times New Roman"/>
          <w:sz w:val="18"/>
          <w:szCs w:val="18"/>
          <w:color w:val="auto"/>
        </w:rPr>
        <w:t xml:space="preserve">. The Buyer shall have the right, from time to time as the Buyer may reasonably deem appropriate, to perform reasonable due diligence on the Company during normal business hours and subject to reasonable prior notice to the Company. The Company and its officers and employees shall provide information and reasonably cooperate with the Buyer in connection with any reasonable request by the Buyer related to the Buyer’s due diligence of the Company, including, but not limited to, any such request made by the Buyer in connection with (i) the filing of the prospectus supplement described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hereof and (ii) the Commencement; provided, however, that at no time is the Company required to disclose material nonpublic information to the Buyer or breach any obligation of confidentiality or non-disclosure to a third party or make any disclosure that could cause a waiver of attorney-client privilege. Each party hereto agrees not to disclose any Confidential Information of the other party to any third party and shall not use the Confidential Information of such other party for any purpose other than in connection with, or in furtherance of, the transactions contemplated hereby. Each party hereto acknowledges that the Confidential Information shall remain the property of the disclosing party and agrees that it shall take all reasonable measures to protect the secrecy of any Confidential Information disclosed by the other party.</w:t>
      </w:r>
    </w:p>
    <w:p>
      <w:pPr>
        <w:spacing w:after="0" w:line="182" w:lineRule="exact"/>
        <w:rPr>
          <w:rFonts w:ascii="Times New Roman" w:cs="Times New Roman" w:eastAsia="Times New Roman" w:hAnsi="Times New Roman"/>
          <w:sz w:val="18"/>
          <w:szCs w:val="18"/>
          <w:color w:val="auto"/>
        </w:rPr>
      </w:pPr>
    </w:p>
    <w:p>
      <w:pPr>
        <w:ind w:left="720" w:hanging="345"/>
        <w:spacing w:after="0"/>
        <w:tabs>
          <w:tab w:leader="none" w:pos="7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AGENT INSTRUCTIONS.</w:t>
      </w:r>
    </w:p>
    <w:p>
      <w:pPr>
        <w:spacing w:after="0" w:line="229" w:lineRule="exact"/>
        <w:rPr>
          <w:sz w:val="20"/>
          <w:szCs w:val="20"/>
          <w:color w:val="auto"/>
        </w:rPr>
      </w:pPr>
    </w:p>
    <w:p>
      <w:pPr>
        <w:ind w:left="40" w:right="520" w:firstLine="440"/>
        <w:spacing w:after="0" w:line="282" w:lineRule="auto"/>
        <w:rPr>
          <w:sz w:val="20"/>
          <w:szCs w:val="20"/>
          <w:color w:val="auto"/>
        </w:rPr>
      </w:pPr>
      <w:r>
        <w:rPr>
          <w:rFonts w:ascii="Times New Roman" w:cs="Times New Roman" w:eastAsia="Times New Roman" w:hAnsi="Times New Roman"/>
          <w:sz w:val="18"/>
          <w:szCs w:val="18"/>
          <w:color w:val="auto"/>
        </w:rPr>
        <w:t>All of the Purchase Shares to be issued under this Agreement shall be issued without any restrictive legend unless the Buyer expressly consents otherwise.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83820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300" w:top="337" w:right="279" w:bottom="1440" w:gutter="0" w:footer="0" w:header="0"/>
        </w:sectPr>
      </w:pPr>
    </w:p>
    <w:bookmarkStart w:id="15" w:name="page16"/>
    <w:bookmarkEnd w:id="15"/>
    <w:p>
      <w:pPr>
        <w:ind w:left="680" w:right="780" w:hanging="345"/>
        <w:spacing w:after="0" w:line="286" w:lineRule="auto"/>
        <w:tabs>
          <w:tab w:leader="none" w:pos="6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THE COMPANY’S RIGHT TO COMMENCE SALES OF SHARES OF COMMON STOCK UNDER THIS AGREEMENT.</w:t>
      </w:r>
    </w:p>
    <w:p>
      <w:pPr>
        <w:spacing w:after="0" w:line="15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right of the Company hereunder to commence sales of the Purchase Shares is subject to the satisfaction of each of the following conditions on or before the Commencement Date (the date that the Company may begin sales of Purchase Shares):</w:t>
      </w:r>
    </w:p>
    <w:p>
      <w:pPr>
        <w:spacing w:after="0" w:line="162" w:lineRule="exact"/>
        <w:rPr>
          <w:sz w:val="20"/>
          <w:szCs w:val="20"/>
          <w:color w:val="auto"/>
        </w:rPr>
      </w:pPr>
    </w:p>
    <w:p>
      <w:pPr>
        <w:ind w:left="660" w:hanging="325"/>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have executed each of the Transaction Documents and delivered the same to the Company;</w:t>
      </w:r>
    </w:p>
    <w:p>
      <w:pPr>
        <w:spacing w:after="0" w:line="225" w:lineRule="exact"/>
        <w:rPr>
          <w:rFonts w:ascii="Times New Roman" w:cs="Times New Roman" w:eastAsia="Times New Roman" w:hAnsi="Times New Roman"/>
          <w:sz w:val="18"/>
          <w:szCs w:val="18"/>
          <w:color w:val="auto"/>
        </w:rPr>
      </w:pPr>
    </w:p>
    <w:p>
      <w:pPr>
        <w:ind w:left="680" w:hanging="345"/>
        <w:spacing w:after="0" w:line="258" w:lineRule="auto"/>
        <w:tabs>
          <w:tab w:leader="none" w:pos="68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Buyer shall be true and correct as of the Commencement Date as though made at that time (except for representations and warranties that speak as of a specific date, which shall be true and correct in all material respects as of such specific date) and the Buyer shall have performed, satisfied and complied in all material respects with the covenants and agreements required by this Agreement to be performed, satisfied or complied with by the Buyer at or prior to the Commencement Date, and the Company shall have received a certificate, executed by a duly authorized officer of the Buyer, dated as of the Commencement Date, to the foregoing effect; and</w:t>
      </w:r>
    </w:p>
    <w:p>
      <w:pPr>
        <w:spacing w:after="0" w:line="183" w:lineRule="exact"/>
        <w:rPr>
          <w:rFonts w:ascii="Times New Roman" w:cs="Times New Roman" w:eastAsia="Times New Roman" w:hAnsi="Times New Roman"/>
          <w:sz w:val="18"/>
          <w:szCs w:val="18"/>
          <w:color w:val="auto"/>
        </w:rPr>
      </w:pPr>
    </w:p>
    <w:p>
      <w:pPr>
        <w:ind w:left="680" w:right="380" w:hanging="345"/>
        <w:spacing w:after="0" w:line="282" w:lineRule="auto"/>
        <w:tabs>
          <w:tab w:leader="none" w:pos="69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 shall have been delivered to the Buyer and no stop order with respect to the Existing Shelf Registration Statement covering the sale of shares to the Buyer shall be pending or threatened by the SEC.</w:t>
      </w:r>
    </w:p>
    <w:p>
      <w:pPr>
        <w:spacing w:after="0" w:line="158" w:lineRule="exact"/>
        <w:rPr>
          <w:sz w:val="20"/>
          <w:szCs w:val="20"/>
          <w:color w:val="auto"/>
        </w:rPr>
      </w:pPr>
    </w:p>
    <w:p>
      <w:pPr>
        <w:ind w:left="680" w:hanging="345"/>
        <w:spacing w:after="0"/>
        <w:tabs>
          <w:tab w:leader="none" w:pos="6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THE BUYER’S OBLIGATION TO MAKE PURCHASES OF SHARES OF COMMON STOCK.</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obligation of the Buyer to buy Purchase Shares under this Agreement is subject to the satisfaction of each of the following conditions on or before the Commencement Date (the date that the Company may begin sales of Purchase Shares) and once such conditions have been initially satisfied:</w:t>
      </w:r>
    </w:p>
    <w:p>
      <w:pPr>
        <w:spacing w:after="0" w:line="162" w:lineRule="exact"/>
        <w:rPr>
          <w:sz w:val="20"/>
          <w:szCs w:val="20"/>
          <w:color w:val="auto"/>
        </w:rPr>
      </w:pPr>
    </w:p>
    <w:p>
      <w:pPr>
        <w:ind w:left="720" w:hanging="326"/>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executed each of the Transaction Documents and delivered the same to the Buyer;</w:t>
      </w:r>
    </w:p>
    <w:p>
      <w:pPr>
        <w:spacing w:after="0" w:line="225" w:lineRule="exact"/>
        <w:rPr>
          <w:rFonts w:ascii="Times New Roman" w:cs="Times New Roman" w:eastAsia="Times New Roman" w:hAnsi="Times New Roman"/>
          <w:sz w:val="18"/>
          <w:szCs w:val="18"/>
          <w:color w:val="auto"/>
        </w:rPr>
      </w:pPr>
    </w:p>
    <w:p>
      <w:pPr>
        <w:ind w:left="740" w:hanging="301"/>
        <w:spacing w:after="0"/>
        <w:tabs>
          <w:tab w:leader="none" w:pos="7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20" w:firstLine="439"/>
        <w:spacing w:after="0" w:line="266" w:lineRule="auto"/>
        <w:tabs>
          <w:tab w:leader="none" w:pos="73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shall be authorized for quotation on the Principal Market, trading in the Common Stock shall not have been within the last 365 days suspended by the SEC or the Principal Market, other than a general halt in trading in the Common Stock by the Principal Market under halt codes indicating pending or released material news, and the Securities shall be approved for listing upon the Principal Market;</w:t>
      </w:r>
    </w:p>
    <w:p>
      <w:pPr>
        <w:spacing w:after="0" w:line="176" w:lineRule="exact"/>
        <w:rPr>
          <w:rFonts w:ascii="Times New Roman" w:cs="Times New Roman" w:eastAsia="Times New Roman" w:hAnsi="Times New Roman"/>
          <w:sz w:val="18"/>
          <w:szCs w:val="18"/>
          <w:color w:val="auto"/>
        </w:rPr>
      </w:pPr>
    </w:p>
    <w:p>
      <w:pPr>
        <w:ind w:left="740" w:hanging="301"/>
        <w:spacing w:after="0"/>
        <w:tabs>
          <w:tab w:leader="none" w:pos="7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439"/>
        <w:spacing w:after="0" w:line="255" w:lineRule="auto"/>
        <w:tabs>
          <w:tab w:leader="none" w:pos="77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shall be true and correct in all material respects (except to the extent that any of such representations and warranties is already qualified as to materiality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above, in which case, such representations and warranties shall be true and correct without further qualification) as of the date of this Agreement and as of the Commencement Date as though made at that time (except for representations and warranties that speak as of a specific date, which shall be true and correct in all material respects as of such specific date) and the Company shall have performed, satisfied and complied in all material respects with the covenants, agreements and conditions required by the Transaction Documents to be performed, satisfied or complied with by the Company at or prior to the Commencement Date. The Buyer shall have received a certificate, executed by the CEO of the Company, dated as of the Commencement Date, to the foregoing effect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right="160" w:firstLine="439"/>
        <w:spacing w:after="0" w:line="282" w:lineRule="auto"/>
        <w:tabs>
          <w:tab w:leader="none" w:pos="75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of the Company or a duly authorized committee thereof shall have adopted resolutions substantially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which shall be in full force and effect without any amendment or supplement thereto as of the Commencement Date;</w:t>
      </w:r>
    </w:p>
    <w:p>
      <w:pPr>
        <w:spacing w:after="0" w:line="1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83820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340" w:top="333" w:right="259" w:bottom="1440" w:gutter="0" w:footer="0" w:header="0"/>
        </w:sectPr>
      </w:pPr>
    </w:p>
    <w:bookmarkStart w:id="16" w:name="page17"/>
    <w:bookmarkEnd w:id="16"/>
    <w:p>
      <w:pPr>
        <w:ind w:left="740" w:hanging="301"/>
        <w:spacing w:after="0"/>
        <w:tabs>
          <w:tab w:leader="none" w:pos="7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40" w:hanging="301"/>
        <w:spacing w:after="0"/>
        <w:tabs>
          <w:tab w:leader="none" w:pos="7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60" w:firstLine="439"/>
        <w:spacing w:after="0" w:line="282" w:lineRule="auto"/>
        <w:tabs>
          <w:tab w:leader="none" w:pos="74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Buyer a certificate evidencing the incorporation and good standing of the Company in the State of Delaware issued by the Secretary of State of the State of Delaware as of a date within ten (10) Business Days of the Commencement Date;</w:t>
      </w:r>
    </w:p>
    <w:p>
      <w:pPr>
        <w:spacing w:after="0" w:line="161" w:lineRule="exact"/>
        <w:rPr>
          <w:rFonts w:ascii="Times New Roman" w:cs="Times New Roman" w:eastAsia="Times New Roman" w:hAnsi="Times New Roman"/>
          <w:sz w:val="18"/>
          <w:szCs w:val="18"/>
          <w:color w:val="auto"/>
        </w:rPr>
      </w:pPr>
    </w:p>
    <w:p>
      <w:pPr>
        <w:ind w:left="700" w:hanging="261"/>
        <w:spacing w:after="0"/>
        <w:tabs>
          <w:tab w:leader="none" w:pos="7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40" w:hanging="301"/>
        <w:spacing w:after="0"/>
        <w:tabs>
          <w:tab w:leader="none" w:pos="7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439"/>
        <w:spacing w:after="0" w:line="256" w:lineRule="auto"/>
        <w:tabs>
          <w:tab w:leader="none" w:pos="70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Shelf Registration Statement shall have been declared effective under the 1933 Act by the SEC and no stop order with respect thereto shall be pending or threatened by the SEC. The Company shall have prepared and delivered to the Buyer a final and complete form of prospectus supplement, dated and current as of the Commencement Date, to be used in connection with any issuances of any Purchase Shares to the Buyer, and to be filed by the Company within two (2) Business Days after the Commencement Date pursuant to Rule 424(b). The Company shall have made all filings under all applicable federal and state securities laws necessary to consummate the issuance of the Purchase Shares pursuant to this Agreement and public resale of the same in compliance with such laws;</w:t>
      </w:r>
    </w:p>
    <w:p>
      <w:pPr>
        <w:spacing w:after="0" w:line="187" w:lineRule="exact"/>
        <w:rPr>
          <w:rFonts w:ascii="Times New Roman" w:cs="Times New Roman" w:eastAsia="Times New Roman" w:hAnsi="Times New Roman"/>
          <w:sz w:val="18"/>
          <w:szCs w:val="18"/>
          <w:color w:val="auto"/>
        </w:rPr>
      </w:pPr>
    </w:p>
    <w:p>
      <w:pPr>
        <w:ind w:left="780" w:hanging="341"/>
        <w:spacing w:after="0"/>
        <w:tabs>
          <w:tab w:leader="none" w:pos="7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has occurred and is continuing, or any event which, after notice and/or lapse of time, would become an Event of Default has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occurred;</w:t>
      </w:r>
    </w:p>
    <w:p>
      <w:pPr>
        <w:spacing w:after="0" w:line="206" w:lineRule="exact"/>
        <w:rPr>
          <w:rFonts w:ascii="Times New Roman" w:cs="Times New Roman" w:eastAsia="Times New Roman" w:hAnsi="Times New Roman"/>
          <w:sz w:val="18"/>
          <w:szCs w:val="18"/>
          <w:color w:val="auto"/>
        </w:rPr>
      </w:pPr>
    </w:p>
    <w:p>
      <w:pPr>
        <w:ind w:right="100" w:firstLine="439"/>
        <w:spacing w:after="0" w:line="277" w:lineRule="auto"/>
        <w:tabs>
          <w:tab w:leader="none" w:pos="831"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prior to the Commencement Date, the Company shall take all necessary action, if any, and such actions as reasonably requested by the Buyer, in order to render inapplicable any control share acquisition, business combination, stockholder rights plan or poison pill (including any distribution under a rights agreement) or other similar anti-takeover provision under the Certificate of Incorporation or the laws of the state of its incorporation, other than Section 203 of the Delaware General Corporation Law, that is or could become applicable to the Buyer as a result of the transactions contemplated by this Agreement, including, without limitation, the Company’s issuance of the Securities and the Buyer’s ownership of the Securities; and</w:t>
      </w:r>
    </w:p>
    <w:p>
      <w:pPr>
        <w:spacing w:after="0" w:line="168" w:lineRule="exact"/>
        <w:rPr>
          <w:rFonts w:ascii="Times New Roman" w:cs="Times New Roman" w:eastAsia="Times New Roman" w:hAnsi="Times New Roman"/>
          <w:sz w:val="17"/>
          <w:szCs w:val="17"/>
          <w:color w:val="auto"/>
        </w:rPr>
      </w:pPr>
    </w:p>
    <w:p>
      <w:pPr>
        <w:ind w:firstLine="439"/>
        <w:spacing w:after="0" w:line="282" w:lineRule="auto"/>
        <w:tabs>
          <w:tab w:leader="none" w:pos="74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provided the Buyer with the information reasonably requested by the Buyer in connection with its due diligence requests made prior to, or in connection with, the Commencement, in accordance with the terms of </w:t>
      </w:r>
      <w:r>
        <w:rPr>
          <w:rFonts w:ascii="Times New Roman" w:cs="Times New Roman" w:eastAsia="Times New Roman" w:hAnsi="Times New Roman"/>
          <w:sz w:val="18"/>
          <w:szCs w:val="18"/>
          <w:u w:val="single" w:color="auto"/>
          <w:color w:val="auto"/>
        </w:rPr>
        <w:t>Section 4(f)</w:t>
      </w:r>
      <w:r>
        <w:rPr>
          <w:rFonts w:ascii="Times New Roman" w:cs="Times New Roman" w:eastAsia="Times New Roman" w:hAnsi="Times New Roman"/>
          <w:sz w:val="18"/>
          <w:szCs w:val="18"/>
          <w:color w:val="auto"/>
        </w:rPr>
        <w:t xml:space="preserve"> hereof.</w:t>
      </w:r>
    </w:p>
    <w:p>
      <w:pPr>
        <w:spacing w:after="0" w:line="157" w:lineRule="exact"/>
        <w:rPr>
          <w:rFonts w:ascii="Times New Roman" w:cs="Times New Roman" w:eastAsia="Times New Roman" w:hAnsi="Times New Roman"/>
          <w:sz w:val="18"/>
          <w:szCs w:val="18"/>
          <w:color w:val="auto"/>
        </w:rPr>
      </w:pPr>
    </w:p>
    <w:p>
      <w:pPr>
        <w:ind w:left="680" w:hanging="345"/>
        <w:spacing w:after="0"/>
        <w:tabs>
          <w:tab w:leader="none" w:pos="6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consideration of the Buyer’s execution and delivery of the Transaction Documents and acquiring the Securities hereunder and in addition to all of the Company’s other obligations under the Transaction Documents, the Company shall defend, protect, indemnify and hold harmless the Buyer and/or each of its affiliates, members, officers, directors, and employees, and any of the foregoing Person’s agents or other representatives (including, without limitation, those retained in connection with the transactions contemplated by this Agreement) (collectively, the “</w:t>
      </w:r>
      <w:r>
        <w:rPr>
          <w:rFonts w:ascii="Times New Roman" w:cs="Times New Roman" w:eastAsia="Times New Roman" w:hAnsi="Times New Roman"/>
          <w:sz w:val="18"/>
          <w:szCs w:val="18"/>
          <w:b w:val="1"/>
          <w:bCs w:val="1"/>
          <w:color w:val="auto"/>
        </w:rPr>
        <w:t>Indemnitees</w:t>
      </w:r>
      <w:r>
        <w:rPr>
          <w:rFonts w:ascii="Times New Roman" w:cs="Times New Roman" w:eastAsia="Times New Roman" w:hAnsi="Times New Roman"/>
          <w:sz w:val="18"/>
          <w:szCs w:val="18"/>
          <w:color w:val="auto"/>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Times New Roman" w:cs="Times New Roman" w:eastAsia="Times New Roman" w:hAnsi="Times New Roman"/>
          <w:sz w:val="18"/>
          <w:szCs w:val="18"/>
          <w:b w:val="1"/>
          <w:bCs w:val="1"/>
          <w:color w:val="auto"/>
        </w:rPr>
        <w:t>Indemnified Liabilities</w:t>
      </w:r>
      <w:r>
        <w:rPr>
          <w:rFonts w:ascii="Times New Roman" w:cs="Times New Roman" w:eastAsia="Times New Roman" w:hAnsi="Times New Roman"/>
          <w:sz w:val="18"/>
          <w:szCs w:val="18"/>
          <w:color w:val="auto"/>
        </w:rPr>
        <w:t>”), incurred by any Indemnitee as a result of, or arising out of, or relating to (a) any misrepresentation or breach of any representation or warranty made by the Company in the Transaction Documents or any other certificate, instrument or document contemplated hereby or thereby, (b) any breach of any covenant, agreement or obligation of the Company contained in the Transaction Documents or any other certificate, instrument or document contemplated hereby or thereby, or (c) any cause of action, suit or claim brought or made against such Indemnitee and arising out of or resulting from the execution, delivery, performance or enforcement of the Transaction Documents or any other certificate, instrument or document contemplated hereby or thereby, other than with respect to Indemnified Liabilities which directly and primarily result from (A) a breach of any of the Buyer’s</w:t>
      </w:r>
    </w:p>
    <w:p>
      <w:pPr>
        <w:spacing w:after="0" w:line="1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83820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40" w:top="337" w:right="279" w:bottom="1440" w:gutter="0" w:footer="0" w:header="0"/>
        </w:sectPr>
      </w:pPr>
    </w:p>
    <w:bookmarkStart w:id="17" w:name="page18"/>
    <w:bookmarkEnd w:id="17"/>
    <w:p>
      <w:pPr>
        <w:ind w:right="40"/>
        <w:spacing w:after="0" w:line="266" w:lineRule="auto"/>
        <w:rPr>
          <w:sz w:val="20"/>
          <w:szCs w:val="20"/>
          <w:color w:val="auto"/>
        </w:rPr>
      </w:pPr>
      <w:r>
        <w:rPr>
          <w:rFonts w:ascii="Times New Roman" w:cs="Times New Roman" w:eastAsia="Times New Roman" w:hAnsi="Times New Roman"/>
          <w:sz w:val="18"/>
          <w:szCs w:val="18"/>
          <w:color w:val="auto"/>
        </w:rPr>
        <w:t>representations and warranties, covenants or agreements contained in this Agreement, or (B) the gross negligence, bad faith or willful misconduct of the Buyer or any other Indemnitee. To the extent that the foregoing undertaking by the Company may be unenforceable for any reason, the Company shall make the maximum contribution to the payment and satisfaction of each of the Indemnified Liabilities which is permissible under applicable law.</w:t>
      </w:r>
    </w:p>
    <w:p>
      <w:pPr>
        <w:spacing w:after="0" w:line="172" w:lineRule="exact"/>
        <w:rPr>
          <w:sz w:val="20"/>
          <w:szCs w:val="20"/>
          <w:color w:val="auto"/>
        </w:rPr>
      </w:pPr>
    </w:p>
    <w:p>
      <w:pPr>
        <w:ind w:left="680" w:hanging="345"/>
        <w:spacing w:after="0"/>
        <w:tabs>
          <w:tab w:leader="none" w:pos="6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OF DEFAULT.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shall be deemed to have occurred at any time as any of the following events occurs:</w:t>
      </w:r>
    </w:p>
    <w:p>
      <w:pPr>
        <w:spacing w:after="0" w:line="229" w:lineRule="exact"/>
        <w:rPr>
          <w:sz w:val="20"/>
          <w:szCs w:val="20"/>
          <w:color w:val="auto"/>
        </w:rPr>
      </w:pPr>
    </w:p>
    <w:p>
      <w:pPr>
        <w:ind w:right="60" w:firstLine="440"/>
        <w:spacing w:after="0" w:line="255" w:lineRule="auto"/>
        <w:tabs>
          <w:tab w:leader="none" w:pos="73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in which the effectiveness of any registration statement is required to be maintained pursuant to the terms of the Agreement, the effectiveness of such registration statement lapses for any reason (including, without limitation, the issuance of a stop order) or is unavailable to the Company for sale of all of the Securities to the Buyer in accordance with the terms of the Agreement, and such lapse or unavailability continues for a period of ten (10) consecutive Business Days or for more than an aggregate of thirty (30) Business Days in any 365-day period, which is not in connection with a post- effective amendment to any such registration statement or the filing of a new registration statement; provided, however, that in connection with any post-effective amendment to such registration statement or filing of a new registration statement that is required to be declared effective by the SEC, such lapse or unavailability may continue for a period of no more than thirty (30) consecutive Business Days, which such period shall be extended for an additional thirty (30) Business Days if the Company receives a comment letter from the SEC in connection therewith;</w:t>
      </w:r>
    </w:p>
    <w:p>
      <w:pPr>
        <w:spacing w:after="0" w:line="185" w:lineRule="exact"/>
        <w:rPr>
          <w:rFonts w:ascii="Times New Roman" w:cs="Times New Roman" w:eastAsia="Times New Roman" w:hAnsi="Times New Roman"/>
          <w:sz w:val="18"/>
          <w:szCs w:val="18"/>
          <w:color w:val="auto"/>
        </w:rPr>
      </w:pPr>
    </w:p>
    <w:p>
      <w:pPr>
        <w:ind w:left="740" w:hanging="300"/>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from trading or failure of the Common Stock to be listed on a Principal Market for a period of three (3) consecutive Business Days;</w:t>
      </w:r>
    </w:p>
    <w:p>
      <w:pPr>
        <w:spacing w:after="0" w:line="225" w:lineRule="exact"/>
        <w:rPr>
          <w:rFonts w:ascii="Times New Roman" w:cs="Times New Roman" w:eastAsia="Times New Roman" w:hAnsi="Times New Roman"/>
          <w:sz w:val="18"/>
          <w:szCs w:val="18"/>
          <w:color w:val="auto"/>
        </w:rPr>
      </w:pPr>
    </w:p>
    <w:p>
      <w:pPr>
        <w:ind w:right="100" w:firstLine="440"/>
        <w:spacing w:after="0" w:line="266" w:lineRule="auto"/>
        <w:tabs>
          <w:tab w:leader="none" w:pos="73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of the Common Stock from the Principal Market, and the Common Stock is not immediately thereafter trading on the New York Stock Exchange, the NYSE American, the NASDAQ Global Select Market, the NASDAQ Global Market, the NASDAQ Capital Market, the OTC Bulletin Board or the OTCQB marketplace or OTCQX marketplace of the OTC Markets Group;</w:t>
      </w:r>
    </w:p>
    <w:p>
      <w:pPr>
        <w:spacing w:after="0" w:line="176" w:lineRule="exact"/>
        <w:rPr>
          <w:rFonts w:ascii="Times New Roman" w:cs="Times New Roman" w:eastAsia="Times New Roman" w:hAnsi="Times New Roman"/>
          <w:sz w:val="18"/>
          <w:szCs w:val="18"/>
          <w:color w:val="auto"/>
        </w:rPr>
      </w:pPr>
    </w:p>
    <w:p>
      <w:pPr>
        <w:ind w:right="180" w:firstLine="440"/>
        <w:spacing w:after="0" w:line="282" w:lineRule="auto"/>
        <w:tabs>
          <w:tab w:leader="none" w:pos="74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for any reason by the Transfer Agent to issue Purchase Shares to the Buyer within one (1) Business Day after the applicable Purchase Notice is given to Buyer;</w:t>
      </w:r>
    </w:p>
    <w:p>
      <w:pPr>
        <w:spacing w:after="0" w:line="161" w:lineRule="exact"/>
        <w:rPr>
          <w:rFonts w:ascii="Times New Roman" w:cs="Times New Roman" w:eastAsia="Times New Roman" w:hAnsi="Times New Roman"/>
          <w:sz w:val="18"/>
          <w:szCs w:val="18"/>
          <w:color w:val="auto"/>
        </w:rPr>
      </w:pPr>
    </w:p>
    <w:p>
      <w:pPr>
        <w:jc w:val="both"/>
        <w:ind w:right="620" w:firstLine="440"/>
        <w:spacing w:after="0" w:line="266" w:lineRule="auto"/>
        <w:tabs>
          <w:tab w:leader="none" w:pos="73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breach of any representation or warranty (as of the dates made), covenant or other term or condition under any Transaction Document if such breach would reasonably be expected to have a Material Adverse Effect and except, in the case of a breach of a covenant which is reasonably curable, only if such breach continues uncured for a period of at least five (5) Business Days;</w:t>
      </w:r>
    </w:p>
    <w:p>
      <w:pPr>
        <w:spacing w:after="0" w:line="176" w:lineRule="exact"/>
        <w:rPr>
          <w:rFonts w:ascii="Times New Roman" w:cs="Times New Roman" w:eastAsia="Times New Roman" w:hAnsi="Times New Roman"/>
          <w:sz w:val="18"/>
          <w:szCs w:val="18"/>
          <w:color w:val="auto"/>
        </w:rPr>
      </w:pPr>
    </w:p>
    <w:p>
      <w:pPr>
        <w:ind w:left="700" w:hanging="260"/>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Person commences a proceeding against the Company pursuant to or within the meaning of any Bankruptcy Law;</w:t>
      </w:r>
    </w:p>
    <w:p>
      <w:pPr>
        <w:spacing w:after="0" w:line="225" w:lineRule="exact"/>
        <w:rPr>
          <w:rFonts w:ascii="Times New Roman" w:cs="Times New Roman" w:eastAsia="Times New Roman" w:hAnsi="Times New Roman"/>
          <w:sz w:val="18"/>
          <w:szCs w:val="18"/>
          <w:color w:val="auto"/>
        </w:rPr>
      </w:pPr>
    </w:p>
    <w:p>
      <w:pPr>
        <w:ind w:right="40" w:firstLine="440"/>
        <w:spacing w:after="0" w:line="266" w:lineRule="auto"/>
        <w:tabs>
          <w:tab w:leader="none" w:pos="78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pursuant to or within the meaning of any Bankruptcy Law; (A) commences a voluntary case, (B) consents to the entry of an order for relief against it in an involuntary case, (C) consents to the appointment of a Custodian of it or for all or substantially all of its property, (D) makes a general assignment for the benefit of its creditors or (E) becomes insolvent;</w:t>
      </w:r>
    </w:p>
    <w:p>
      <w:pPr>
        <w:spacing w:after="0" w:line="176" w:lineRule="exact"/>
        <w:rPr>
          <w:rFonts w:ascii="Times New Roman" w:cs="Times New Roman" w:eastAsia="Times New Roman" w:hAnsi="Times New Roman"/>
          <w:sz w:val="18"/>
          <w:szCs w:val="18"/>
          <w:color w:val="auto"/>
        </w:rPr>
      </w:pPr>
    </w:p>
    <w:p>
      <w:pPr>
        <w:jc w:val="both"/>
        <w:ind w:right="100" w:firstLine="439"/>
        <w:spacing w:after="0" w:line="266" w:lineRule="auto"/>
        <w:tabs>
          <w:tab w:leader="none" w:pos="74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 (A) is for relief against the Company in an involuntary case, (B) appoints a Custodian of the Company or for all or substantially all of its property, or (C) orders the liquidation of the Company or any Subsidiary; or</w:t>
      </w:r>
    </w:p>
    <w:p>
      <w:pPr>
        <w:spacing w:after="0" w:line="176" w:lineRule="exact"/>
        <w:rPr>
          <w:rFonts w:ascii="Times New Roman" w:cs="Times New Roman" w:eastAsia="Times New Roman" w:hAnsi="Times New Roman"/>
          <w:sz w:val="18"/>
          <w:szCs w:val="18"/>
          <w:color w:val="auto"/>
        </w:rPr>
      </w:pPr>
    </w:p>
    <w:p>
      <w:pPr>
        <w:ind w:left="740" w:hanging="301"/>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after the Commencement Date, the Exchange Cap is reached unless and until stockholder approval is obtained pursuant to</w:t>
      </w:r>
    </w:p>
    <w:p>
      <w:pPr>
        <w:spacing w:after="0" w:line="27" w:lineRule="exact"/>
        <w:rPr>
          <w:sz w:val="20"/>
          <w:szCs w:val="20"/>
          <w:color w:val="auto"/>
        </w:rPr>
      </w:pPr>
    </w:p>
    <w:p>
      <w:pPr>
        <w:jc w:val="both"/>
        <w:ind w:right="44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1(h)</w:t>
      </w:r>
      <w:r>
        <w:rPr>
          <w:rFonts w:ascii="Times New Roman" w:cs="Times New Roman" w:eastAsia="Times New Roman" w:hAnsi="Times New Roman"/>
          <w:sz w:val="18"/>
          <w:szCs w:val="18"/>
          <w:color w:val="auto"/>
        </w:rPr>
        <w:t xml:space="preserve"> hereof. The Exchange Cap shall be deemed to be reached at such time if, upon submission of a Purchase Notice under this Agreement, the issuance of such shares of Common Stock would exceed the number of shares of Common Stock which the Company may issue under this Agreement without breaching the Company’s obligations under the rules or</w:t>
      </w:r>
    </w:p>
    <w:p>
      <w:pPr>
        <w:spacing w:after="0" w:line="1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340" w:top="337"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regulations of the Principal Market.</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addition to any other rights and remedies under applicable law and this Agreement, including the Buyer termination rights under </w:t>
      </w:r>
      <w:r>
        <w:rPr>
          <w:rFonts w:ascii="Times New Roman" w:cs="Times New Roman" w:eastAsia="Times New Roman" w:hAnsi="Times New Roman"/>
          <w:sz w:val="18"/>
          <w:szCs w:val="18"/>
          <w:u w:val="single" w:color="auto"/>
          <w:color w:val="auto"/>
        </w:rPr>
        <w:t>Section 11(k)</w:t>
      </w:r>
      <w:r>
        <w:rPr>
          <w:rFonts w:ascii="Times New Roman" w:cs="Times New Roman" w:eastAsia="Times New Roman" w:hAnsi="Times New Roman"/>
          <w:sz w:val="18"/>
          <w:szCs w:val="18"/>
          <w:color w:val="auto"/>
        </w:rPr>
        <w:t xml:space="preserve"> hereof, so long as an Event of Default has occurred and is continuing, or if any event which, after notice and/or lapse of time, would become an Event of Default, has occurred and is continuing, the Company may not request the Buyer to purchase any shares of Common Stock under this Agreement. If pursuant to or within the meaning of any Bankruptcy Law, the Company commences a voluntary case or any Person commences a proceeding against the Company, a Custodian is appointed for the Company or for all or substantially all of its property, or the Company makes a general assignment for the benefit of its creditors, (any of which would be an Event of Default as described in </w:t>
      </w:r>
      <w:r>
        <w:rPr>
          <w:rFonts w:ascii="Times New Roman" w:cs="Times New Roman" w:eastAsia="Times New Roman" w:hAnsi="Times New Roman"/>
          <w:sz w:val="18"/>
          <w:szCs w:val="18"/>
          <w:u w:val="single" w:color="auto"/>
          <w:color w:val="auto"/>
        </w:rPr>
        <w:t>Sections 9(f)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9(h)</w:t>
      </w:r>
      <w:r>
        <w:rPr>
          <w:rFonts w:ascii="Times New Roman" w:cs="Times New Roman" w:eastAsia="Times New Roman" w:hAnsi="Times New Roman"/>
          <w:sz w:val="18"/>
          <w:szCs w:val="18"/>
          <w:color w:val="auto"/>
        </w:rPr>
        <w:t xml:space="preserve"> hereof) this Agreement shall automatically terminate without any liability or payment to the Company without further action or notice by any Person. No such termination of this Agreement under </w:t>
      </w:r>
      <w:r>
        <w:rPr>
          <w:rFonts w:ascii="Times New Roman" w:cs="Times New Roman" w:eastAsia="Times New Roman" w:hAnsi="Times New Roman"/>
          <w:sz w:val="18"/>
          <w:szCs w:val="18"/>
          <w:u w:val="single" w:color="auto"/>
          <w:color w:val="auto"/>
        </w:rPr>
        <w:t>Section 11(k)(i)</w:t>
      </w:r>
      <w:r>
        <w:rPr>
          <w:rFonts w:ascii="Times New Roman" w:cs="Times New Roman" w:eastAsia="Times New Roman" w:hAnsi="Times New Roman"/>
          <w:sz w:val="18"/>
          <w:szCs w:val="18"/>
          <w:color w:val="auto"/>
        </w:rPr>
        <w:t xml:space="preserve"> shall affect the Company’s or the Buyer’s obligations under this Agreement with respect to pending purchases and the Company and the Buyer shall complete their respective obligations with respect to any pending purchases under this Agreement.</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10. CERTAIN DEFINED TERMS.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this Agreement, the following terms shall have the following meanings:</w:t>
      </w:r>
    </w:p>
    <w:p>
      <w:pPr>
        <w:spacing w:after="0" w:line="221" w:lineRule="exact"/>
        <w:rPr>
          <w:sz w:val="20"/>
          <w:szCs w:val="20"/>
          <w:color w:val="auto"/>
        </w:rPr>
      </w:pPr>
    </w:p>
    <w:p>
      <w:pPr>
        <w:ind w:left="680" w:hanging="24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means the Securities Act of 1933, as amended.</w:t>
      </w:r>
    </w:p>
    <w:p>
      <w:pPr>
        <w:spacing w:after="0" w:line="229" w:lineRule="exact"/>
        <w:rPr>
          <w:rFonts w:ascii="Times New Roman" w:cs="Times New Roman" w:eastAsia="Times New Roman" w:hAnsi="Times New Roman"/>
          <w:sz w:val="18"/>
          <w:szCs w:val="18"/>
          <w:color w:val="auto"/>
        </w:rPr>
      </w:pPr>
    </w:p>
    <w:p>
      <w:pPr>
        <w:ind w:left="740" w:hanging="301"/>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720" w:hanging="281"/>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w:t>
      </w:r>
    </w:p>
    <w:p>
      <w:pPr>
        <w:spacing w:after="0" w:line="225" w:lineRule="exact"/>
        <w:rPr>
          <w:rFonts w:ascii="Times New Roman" w:cs="Times New Roman" w:eastAsia="Times New Roman" w:hAnsi="Times New Roman"/>
          <w:sz w:val="18"/>
          <w:szCs w:val="18"/>
          <w:color w:val="auto"/>
        </w:rPr>
      </w:pPr>
    </w:p>
    <w:p>
      <w:pPr>
        <w:ind w:right="20" w:firstLine="439"/>
        <w:spacing w:after="0" w:line="286" w:lineRule="auto"/>
        <w:tabs>
          <w:tab w:leader="none" w:pos="74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on which the Principal Market is open for trading during normal trading hours (i.e., 9:30 a.m. to 4:00 p.m. Eastern Time), including any day on which the Principal Market is open for trading for a period of time less than the customary time.</w:t>
      </w:r>
    </w:p>
    <w:p>
      <w:pPr>
        <w:spacing w:after="0" w:line="158" w:lineRule="exact"/>
        <w:rPr>
          <w:rFonts w:ascii="Times New Roman" w:cs="Times New Roman" w:eastAsia="Times New Roman" w:hAnsi="Times New Roman"/>
          <w:sz w:val="18"/>
          <w:szCs w:val="18"/>
          <w:color w:val="auto"/>
        </w:rPr>
      </w:pPr>
    </w:p>
    <w:p>
      <w:pPr>
        <w:ind w:left="720" w:hanging="281"/>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right="60" w:firstLine="439"/>
        <w:spacing w:after="0" w:line="253" w:lineRule="auto"/>
        <w:tabs>
          <w:tab w:leader="none" w:pos="71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any information disclosed by either party to the other party, either directly or indirectly, in writing, orally or by inspection of tangible objects (including, without limitation, documents, prototypes, samples, protocols, development plans, commercialization plans, compounds, formulations, preclinical study and clinical trial results, plant and equipment), which is designated as “Confidential,” “Proprietary” or some similar designation. Information communicated orally shall be considered Confidential Information if such information is expressly identified as Confidential Information at the time of such initial disclosure and confirmed in writing as being Confidential Information within ten (10) Business Days after the initial disclosure. Confidential Information may also include information disclosed to a disclosing party by third parties. Confidential Information shall not, however, include any information which (i) was publicly known and made generally available in the public domain prior to the time of disclosure by the disclosing party; (ii) becomes publicly known and made generally available after disclosure by the disclosing party to the receiving party through no action or inaction of the receiving party; (iii) is already in the possession of the receiving party at the time of disclosure by the disclosing party as shown by the receiving party’s files and records immediately prior to the time of disclosure; (iv) is obtained by the receiving party from a third party without a breach of such third party’s obligations of confidentiality; (v) is independently developed by the receiving party without use of or reference to the disclosing party’s Confidential Information, as shown by documents and other competent evidence in the receiving party’s possession; or (vi) is required by law to be disclosed by the receiving party, provided that the receiving party gives the disclosing party prompt written notice of such requirement prior to such disclosure and assistance in obtaining an order protecting the information from public disclosure.</w:t>
      </w:r>
    </w:p>
    <w:p>
      <w:pPr>
        <w:spacing w:after="0" w:line="186" w:lineRule="exact"/>
        <w:rPr>
          <w:rFonts w:ascii="Times New Roman" w:cs="Times New Roman" w:eastAsia="Times New Roman" w:hAnsi="Times New Roman"/>
          <w:sz w:val="18"/>
          <w:szCs w:val="18"/>
          <w:color w:val="auto"/>
        </w:rPr>
      </w:pPr>
    </w:p>
    <w:p>
      <w:pPr>
        <w:ind w:left="780" w:hanging="341"/>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83820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340" w:top="337" w:right="239" w:bottom="1440" w:gutter="0" w:footer="0" w:header="0"/>
        </w:sectPr>
      </w:pPr>
    </w:p>
    <w:bookmarkStart w:id="19" w:name="page20"/>
    <w:bookmarkEnd w:id="19"/>
    <w:p>
      <w:pPr>
        <w:ind w:right="760" w:firstLine="439"/>
        <w:spacing w:after="0" w:line="286" w:lineRule="auto"/>
        <w:tabs>
          <w:tab w:leader="none" w:pos="741"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Price</w:t>
      </w:r>
      <w:r>
        <w:rPr>
          <w:rFonts w:ascii="Times New Roman" w:cs="Times New Roman" w:eastAsia="Times New Roman" w:hAnsi="Times New Roman"/>
          <w:sz w:val="18"/>
          <w:szCs w:val="18"/>
          <w:color w:val="auto"/>
        </w:rPr>
        <w:t>” shall mean $1.00 (provided that the Buyer may waive the Minimum Price for a specific Purchase Notice), subject to appropriate adjustment for any reorganization, recapitalization, non-cash dividend, stock split, reverse stock split or other similar transaction.</w:t>
      </w:r>
    </w:p>
    <w:p>
      <w:pPr>
        <w:spacing w:after="0" w:line="154" w:lineRule="exact"/>
        <w:rPr>
          <w:rFonts w:ascii="Times New Roman" w:cs="Times New Roman" w:eastAsia="Times New Roman" w:hAnsi="Times New Roman"/>
          <w:sz w:val="18"/>
          <w:szCs w:val="18"/>
          <w:color w:val="auto"/>
        </w:rPr>
      </w:pPr>
    </w:p>
    <w:p>
      <w:pPr>
        <w:ind w:right="880" w:firstLine="439"/>
        <w:spacing w:after="0" w:line="286" w:lineRule="auto"/>
        <w:tabs>
          <w:tab w:leader="none" w:pos="701"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entity including any limited liability company, a partnership, a joint venture, a corporation, a trust, an unincorporated organization and a government or any department or agency thereof.</w:t>
      </w:r>
    </w:p>
    <w:p>
      <w:pPr>
        <w:spacing w:after="0" w:line="154" w:lineRule="exact"/>
        <w:rPr>
          <w:rFonts w:ascii="Times New Roman" w:cs="Times New Roman" w:eastAsia="Times New Roman" w:hAnsi="Times New Roman"/>
          <w:sz w:val="18"/>
          <w:szCs w:val="18"/>
          <w:color w:val="auto"/>
        </w:rPr>
      </w:pPr>
    </w:p>
    <w:p>
      <w:pPr>
        <w:jc w:val="both"/>
        <w:ind w:firstLine="439"/>
        <w:spacing w:after="0" w:line="262" w:lineRule="auto"/>
        <w:tabs>
          <w:tab w:leader="none" w:pos="701"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Capital Market; provided however, that in the event the Company’s Common Stock is ever listed or traded on the New York Stock Exchange, the NYSE American, the NASDAQ Global Select Market, the Nasdaq Global Market, the NASDAQ Capital Market, the OTC Bulletin Board or either of the OTCQB Marketplace or the OTCQX marketplace of the OTC Markets Group, then the “Principal Market” shall mean such other market or exchange on which the Company’s Common Stock is then listed or traded.</w:t>
      </w:r>
    </w:p>
    <w:p>
      <w:pPr>
        <w:spacing w:after="0" w:line="180" w:lineRule="exact"/>
        <w:rPr>
          <w:rFonts w:ascii="Times New Roman" w:cs="Times New Roman" w:eastAsia="Times New Roman" w:hAnsi="Times New Roman"/>
          <w:sz w:val="18"/>
          <w:szCs w:val="18"/>
          <w:color w:val="auto"/>
        </w:rPr>
      </w:pPr>
    </w:p>
    <w:p>
      <w:pPr>
        <w:ind w:left="740" w:hanging="301"/>
        <w:spacing w:after="0"/>
        <w:tabs>
          <w:tab w:leader="none" w:pos="74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right="480" w:firstLine="439"/>
        <w:spacing w:after="0" w:line="286" w:lineRule="auto"/>
        <w:tabs>
          <w:tab w:leader="none" w:pos="701"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Date</w:t>
      </w:r>
      <w:r>
        <w:rPr>
          <w:rFonts w:ascii="Times New Roman" w:cs="Times New Roman" w:eastAsia="Times New Roman" w:hAnsi="Times New Roman"/>
          <w:sz w:val="18"/>
          <w:szCs w:val="18"/>
          <w:color w:val="auto"/>
        </w:rPr>
        <w:t>” means with respect to any Regular Purchase made hereunder, the Business Day that the respective portion of the Purchase Shares are reflected in the Buyer’s account.</w:t>
      </w:r>
    </w:p>
    <w:p>
      <w:pPr>
        <w:spacing w:after="0" w:line="154" w:lineRule="exact"/>
        <w:rPr>
          <w:rFonts w:ascii="Times New Roman" w:cs="Times New Roman" w:eastAsia="Times New Roman" w:hAnsi="Times New Roman"/>
          <w:sz w:val="18"/>
          <w:szCs w:val="18"/>
          <w:color w:val="auto"/>
        </w:rPr>
      </w:pPr>
    </w:p>
    <w:p>
      <w:pPr>
        <w:ind w:right="560" w:firstLine="439"/>
        <w:spacing w:after="0" w:line="286" w:lineRule="auto"/>
        <w:tabs>
          <w:tab w:leader="none" w:pos="791"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Notice</w:t>
      </w:r>
      <w:r>
        <w:rPr>
          <w:rFonts w:ascii="Times New Roman" w:cs="Times New Roman" w:eastAsia="Times New Roman" w:hAnsi="Times New Roman"/>
          <w:sz w:val="18"/>
          <w:szCs w:val="18"/>
          <w:color w:val="auto"/>
        </w:rPr>
        <w:t xml:space="preserve">” shall mean an irrevocable written notice from the Company to the Buyer requesting the Buyer to buy Purchase Shares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hereof as specified by the Company therein at the applicable Purchase Price on the Purchase Date.</w:t>
      </w:r>
    </w:p>
    <w:p>
      <w:pPr>
        <w:spacing w:after="0" w:line="154" w:lineRule="exact"/>
        <w:rPr>
          <w:rFonts w:ascii="Times New Roman" w:cs="Times New Roman" w:eastAsia="Times New Roman" w:hAnsi="Times New Roman"/>
          <w:sz w:val="18"/>
          <w:szCs w:val="18"/>
          <w:color w:val="auto"/>
        </w:rPr>
      </w:pPr>
    </w:p>
    <w:p>
      <w:pPr>
        <w:ind w:right="100" w:firstLine="439"/>
        <w:spacing w:after="0" w:line="268" w:lineRule="auto"/>
        <w:tabs>
          <w:tab w:leader="none" w:pos="741"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means $0.28 per share of Common Stock, or such other price agreed upon between the Company and Buyer for the respective Purchase Notice, subject to the terms of this Agreement and subject to appropriate adjustment for any reorganization, recapitalization, non-cash dividend, stock split, reverse stock split or other similar transaction.</w:t>
      </w:r>
    </w:p>
    <w:p>
      <w:pPr>
        <w:spacing w:after="0" w:line="174" w:lineRule="exact"/>
        <w:rPr>
          <w:rFonts w:ascii="Times New Roman" w:cs="Times New Roman" w:eastAsia="Times New Roman" w:hAnsi="Times New Roman"/>
          <w:sz w:val="18"/>
          <w:szCs w:val="18"/>
          <w:color w:val="auto"/>
        </w:rPr>
      </w:pPr>
    </w:p>
    <w:p>
      <w:pPr>
        <w:ind w:left="740" w:hanging="301"/>
        <w:spacing w:after="0"/>
        <w:tabs>
          <w:tab w:leader="none" w:pos="74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1" w:lineRule="exact"/>
        <w:rPr>
          <w:rFonts w:ascii="Times New Roman" w:cs="Times New Roman" w:eastAsia="Times New Roman" w:hAnsi="Times New Roman"/>
          <w:sz w:val="18"/>
          <w:szCs w:val="18"/>
          <w:color w:val="auto"/>
        </w:rPr>
      </w:pPr>
    </w:p>
    <w:p>
      <w:pPr>
        <w:ind w:left="740" w:hanging="301"/>
        <w:spacing w:after="0"/>
        <w:tabs>
          <w:tab w:leader="none" w:pos="74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rFonts w:ascii="Times New Roman" w:cs="Times New Roman" w:eastAsia="Times New Roman" w:hAnsi="Times New Roman"/>
          <w:sz w:val="18"/>
          <w:szCs w:val="18"/>
          <w:color w:val="auto"/>
        </w:rPr>
      </w:pPr>
    </w:p>
    <w:p>
      <w:pPr>
        <w:ind w:right="300" w:firstLine="439"/>
        <w:spacing w:after="0" w:line="286" w:lineRule="auto"/>
        <w:tabs>
          <w:tab w:leader="none" w:pos="741"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the transfer agent of the Company or such other person who is then serving as the transfer agent for the Company in respect of the Common Stock.</w:t>
      </w:r>
    </w:p>
    <w:p>
      <w:pPr>
        <w:spacing w:after="0" w:line="154" w:lineRule="exact"/>
        <w:rPr>
          <w:rFonts w:ascii="Times New Roman" w:cs="Times New Roman" w:eastAsia="Times New Roman" w:hAnsi="Times New Roman"/>
          <w:sz w:val="18"/>
          <w:szCs w:val="18"/>
          <w:color w:val="auto"/>
        </w:rPr>
      </w:pPr>
    </w:p>
    <w:p>
      <w:pPr>
        <w:ind w:left="660" w:hanging="325"/>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ind w:right="280" w:firstLine="394"/>
        <w:spacing w:after="0" w:line="282" w:lineRule="auto"/>
        <w:tabs>
          <w:tab w:leader="none" w:pos="73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interpreted in accordance with the laws of the State of Kansas without regard to the principles of conflicts of law (whether of the State of Kansas or any other jurisdiction).</w:t>
      </w:r>
    </w:p>
    <w:p>
      <w:pPr>
        <w:spacing w:after="0" w:line="161" w:lineRule="exact"/>
        <w:rPr>
          <w:rFonts w:ascii="Times New Roman" w:cs="Times New Roman" w:eastAsia="Times New Roman" w:hAnsi="Times New Roman"/>
          <w:sz w:val="18"/>
          <w:szCs w:val="18"/>
          <w:color w:val="auto"/>
        </w:rPr>
      </w:pPr>
    </w:p>
    <w:p>
      <w:pPr>
        <w:ind w:right="60" w:firstLine="394"/>
        <w:spacing w:after="0" w:line="253" w:lineRule="auto"/>
        <w:tabs>
          <w:tab w:leader="none" w:pos="74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Any disputes, claims, or controversies arising out of or relating to this Agreement, or the transactions, contemplated thereby, or the breach, termination, enforcement, interpretation or validity thereof, including the determination of the scope or applicability of this Agreement to arbitrate, shall be referred to and resolved solely and exclusively by binding arbitration to be conducted before the Judicial Arbitration and Mediation Service (“</w:t>
      </w:r>
      <w:r>
        <w:rPr>
          <w:rFonts w:ascii="Times New Roman" w:cs="Times New Roman" w:eastAsia="Times New Roman" w:hAnsi="Times New Roman"/>
          <w:sz w:val="18"/>
          <w:szCs w:val="18"/>
          <w:b w:val="1"/>
          <w:bCs w:val="1"/>
          <w:color w:val="auto"/>
        </w:rPr>
        <w:t>JAMS</w:t>
      </w:r>
      <w:r>
        <w:rPr>
          <w:rFonts w:ascii="Times New Roman" w:cs="Times New Roman" w:eastAsia="Times New Roman" w:hAnsi="Times New Roman"/>
          <w:sz w:val="18"/>
          <w:szCs w:val="18"/>
          <w:color w:val="auto"/>
        </w:rPr>
        <w:t>” ), or its successor pursuant the expedited procedures set forth in the JAMS Comprehensive Arbitration Rules and Procedures (the “</w:t>
      </w:r>
      <w:r>
        <w:rPr>
          <w:rFonts w:ascii="Times New Roman" w:cs="Times New Roman" w:eastAsia="Times New Roman" w:hAnsi="Times New Roman"/>
          <w:sz w:val="18"/>
          <w:szCs w:val="18"/>
          <w:b w:val="1"/>
          <w:bCs w:val="1"/>
          <w:color w:val="auto"/>
        </w:rPr>
        <w:t>Rules</w:t>
      </w:r>
      <w:r>
        <w:rPr>
          <w:rFonts w:ascii="Times New Roman" w:cs="Times New Roman" w:eastAsia="Times New Roman" w:hAnsi="Times New Roman"/>
          <w:sz w:val="18"/>
          <w:szCs w:val="18"/>
          <w:color w:val="auto"/>
        </w:rPr>
        <w:t>” ), including Rules 16.1 and 16.2 of those Rules. The arbitration shall be held in New York, New York, before a tribunal consisting of three (3) arbitrators each of whom will be selected in accordance with the “strike and rank” methodology set forth in Rule 15. Either party to this Agreement may, without waiving any remedy under this Agreement, seek from any federal or state court sitting in the State of Kansas any interim or provisional relief that is necessary to protect the rights or property of that party, pending the establishment of the arbitral tribunal. The costs and expenses of such arbitration shall be paid by and be the sole responsibility of the Company, including but not limited to the Buyer’s attorneys’ fees and each arbitrator’s fees. The arbitrators’ decision must set forth a reasoned basis for any award of damages or finding of liability. The arbitrators’ decision and award will be made and delivered as soon as reasonably possibly and in any case</w:t>
      </w:r>
    </w:p>
    <w:p>
      <w:pPr>
        <w:spacing w:after="0" w:line="1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40" w:top="333" w:right="279" w:bottom="1440" w:gutter="0" w:footer="0" w:header="0"/>
        </w:sectPr>
      </w:pPr>
    </w:p>
    <w:bookmarkStart w:id="20" w:name="page21"/>
    <w:bookmarkEnd w:id="20"/>
    <w:p>
      <w:pPr>
        <w:ind w:right="380"/>
        <w:spacing w:after="0" w:line="282" w:lineRule="auto"/>
        <w:rPr>
          <w:sz w:val="20"/>
          <w:szCs w:val="20"/>
          <w:color w:val="auto"/>
        </w:rPr>
      </w:pPr>
      <w:r>
        <w:rPr>
          <w:rFonts w:ascii="Times New Roman" w:cs="Times New Roman" w:eastAsia="Times New Roman" w:hAnsi="Times New Roman"/>
          <w:sz w:val="18"/>
          <w:szCs w:val="18"/>
          <w:color w:val="auto"/>
        </w:rPr>
        <w:t>within sixty (60) days’ following the conclusion of the arbitration hearing and shall be final and binding on the parties and may be entered by any court having jurisdiction thereof.</w:t>
      </w:r>
    </w:p>
    <w:p>
      <w:pPr>
        <w:spacing w:after="0" w:line="162" w:lineRule="exact"/>
        <w:rPr>
          <w:sz w:val="20"/>
          <w:szCs w:val="20"/>
          <w:color w:val="auto"/>
        </w:rPr>
      </w:pPr>
    </w:p>
    <w:p>
      <w:pPr>
        <w:ind w:right="100" w:firstLine="394"/>
        <w:spacing w:after="0" w:line="266" w:lineRule="auto"/>
        <w:tabs>
          <w:tab w:leader="none" w:pos="73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JURY TRIAL WAIVER.</w:t>
      </w:r>
      <w:r>
        <w:rPr>
          <w:rFonts w:ascii="Times New Roman" w:cs="Times New Roman" w:eastAsia="Times New Roman" w:hAnsi="Times New Roman"/>
          <w:sz w:val="18"/>
          <w:szCs w:val="18"/>
          <w:color w:val="auto"/>
        </w:rPr>
        <w:t xml:space="preserve"> THE COMPANY AND THE BUYER HEREBY WAIVE A TRIAL BY JURY IN ANY ACTION, PROCEEDING OR COUNTERCLAIM BROUGHT BY EITHER OF THE PARTIES HERETO AGAINST THE OTHER IN RESPECT OF ANY MATTER ARISING OUT OF OR IN CONNECTION WITH THE TRANSACTION DOCUMENTS.</w:t>
      </w:r>
    </w:p>
    <w:p>
      <w:pPr>
        <w:spacing w:after="0" w:line="176" w:lineRule="exact"/>
        <w:rPr>
          <w:rFonts w:ascii="Times New Roman" w:cs="Times New Roman" w:eastAsia="Times New Roman" w:hAnsi="Times New Roman"/>
          <w:sz w:val="18"/>
          <w:szCs w:val="18"/>
          <w:color w:val="auto"/>
        </w:rPr>
      </w:pPr>
    </w:p>
    <w:p>
      <w:pPr>
        <w:ind w:right="60" w:firstLine="394"/>
        <w:spacing w:after="0" w:line="261" w:lineRule="auto"/>
        <w:tabs>
          <w:tab w:leader="none" w:pos="74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(or other electronic reproduction) signature shall be considered due execution and shall be binding upon the signatory thereto with the same force and effect as if the signature were an original, not a facsimile or .pdf (or other electronic reproduction) signature.</w:t>
      </w:r>
    </w:p>
    <w:p>
      <w:pPr>
        <w:spacing w:after="0" w:line="180" w:lineRule="exact"/>
        <w:rPr>
          <w:rFonts w:ascii="Times New Roman" w:cs="Times New Roman" w:eastAsia="Times New Roman" w:hAnsi="Times New Roman"/>
          <w:sz w:val="18"/>
          <w:szCs w:val="18"/>
          <w:color w:val="auto"/>
        </w:rPr>
      </w:pPr>
    </w:p>
    <w:p>
      <w:pPr>
        <w:ind w:right="700" w:firstLine="439"/>
        <w:spacing w:after="0" w:line="282" w:lineRule="auto"/>
        <w:tabs>
          <w:tab w:leader="none" w:pos="73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this Agreement are for convenience of reference and shall not form part of, or affect the interpretation of, this Agreement.</w:t>
      </w:r>
    </w:p>
    <w:p>
      <w:pPr>
        <w:spacing w:after="0" w:line="161" w:lineRule="exact"/>
        <w:rPr>
          <w:rFonts w:ascii="Times New Roman" w:cs="Times New Roman" w:eastAsia="Times New Roman" w:hAnsi="Times New Roman"/>
          <w:sz w:val="18"/>
          <w:szCs w:val="18"/>
          <w:color w:val="auto"/>
        </w:rPr>
      </w:pPr>
    </w:p>
    <w:p>
      <w:pPr>
        <w:ind w:right="120" w:firstLine="439"/>
        <w:spacing w:after="0" w:line="266" w:lineRule="auto"/>
        <w:tabs>
          <w:tab w:leader="none" w:pos="71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shall be invalid or unenforceable in any jurisdiction, such invalidity or unenforceability shall not affect the validity or enforceability of the remainder of this Agreement in that jurisdiction or the validity or enforceability of such provision of this Agreement in any other jurisdiction.</w:t>
      </w:r>
    </w:p>
    <w:p>
      <w:pPr>
        <w:spacing w:after="0" w:line="176" w:lineRule="exact"/>
        <w:rPr>
          <w:rFonts w:ascii="Times New Roman" w:cs="Times New Roman" w:eastAsia="Times New Roman" w:hAnsi="Times New Roman"/>
          <w:sz w:val="18"/>
          <w:szCs w:val="18"/>
          <w:color w:val="auto"/>
        </w:rPr>
      </w:pPr>
    </w:p>
    <w:p>
      <w:pPr>
        <w:ind w:right="60" w:firstLine="439"/>
        <w:spacing w:after="0" w:line="256" w:lineRule="auto"/>
        <w:tabs>
          <w:tab w:leader="none" w:pos="74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shall supersede all other prior oral or written agreements between the Buyer, the Company, their affiliates and Persons acting on their behalf with respect to the matters discussed herein, and this Agreement, the other Transaction Documents and the instruments referenced herein contain the entire understanding of the parties with respect to the matters covered herein and therein and, except as specifically set forth herein or therein, neither the Company nor the Buyer makes any representation, warranty, covenant or undertaking with respect to such matters. The Company acknowledges and agrees that is has not relied on, in any manner whatsoever, any representations or statements, written or oral, other than as expressly set forth in this Agreement.</w:t>
      </w:r>
    </w:p>
    <w:p>
      <w:pPr>
        <w:spacing w:after="0" w:line="187" w:lineRule="exact"/>
        <w:rPr>
          <w:rFonts w:ascii="Times New Roman" w:cs="Times New Roman" w:eastAsia="Times New Roman" w:hAnsi="Times New Roman"/>
          <w:sz w:val="18"/>
          <w:szCs w:val="18"/>
          <w:color w:val="auto"/>
        </w:rPr>
      </w:pPr>
    </w:p>
    <w:p>
      <w:pPr>
        <w:ind w:firstLine="439"/>
        <w:spacing w:after="0" w:line="256" w:lineRule="auto"/>
        <w:tabs>
          <w:tab w:leader="none" w:pos="69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consents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(iii) upon receipt, when sent by electronic message (provided the recipient responds to the message and confirmation of both electronic messages are kept on file by the sending party); or (iv) one (1) Business Day after timely deposit with a nationally recognized overnight delivery service, in each case properly addressed to the party to receive the same. The addresses and facsimile numbers for such communications shall be: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Jaguar Health, Inc.</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201 Mission Street, Suite 2375</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Email: lconte@jaguar.health</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to (which shall not constitute delivery to the Company):</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Reed Smith LLP</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1510 Page Mill Road, Suite 110</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Telephone: 650-352-0532</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Attention: Donald Reinke, Esq.</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Email: DReinke@reedsmith.com</w:t>
      </w: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83820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40" w:top="337" w:right="279" w:bottom="1440" w:gutter="0" w:footer="0" w:header="0"/>
        </w:sectPr>
      </w:pPr>
    </w:p>
    <w:bookmarkStart w:id="21" w:name="page22"/>
    <w:bookmarkEnd w:id="21"/>
    <w:p>
      <w:pPr>
        <w:ind w:left="440"/>
        <w:spacing w:after="0"/>
        <w:rPr>
          <w:sz w:val="20"/>
          <w:szCs w:val="20"/>
          <w:color w:val="auto"/>
        </w:rPr>
      </w:pPr>
      <w:r>
        <w:rPr>
          <w:rFonts w:ascii="Times New Roman" w:cs="Times New Roman" w:eastAsia="Times New Roman" w:hAnsi="Times New Roman"/>
          <w:sz w:val="18"/>
          <w:szCs w:val="18"/>
          <w:color w:val="auto"/>
        </w:rPr>
        <w:t>If to the Buyer:</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Oasis Capital, LLC</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208 Ponce de Leon Ave., Suite 1600</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San Juan, PR 00918</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Email: adam@oasis-capoasiscapital.com</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Attention: Adam Long</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to (which shall not constitute delivery to the Buyer):</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K&amp;L Gates LLP</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200 S. Biscayne Blvd., Suite 3900</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Miami, FL 33131</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E-mail: john.owens@klgates.com</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Attention: John D. Owens, III, Esq.</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or at such other address and/or facsimile number and/or to the attention of such other person as the recipient party has specified by written notice given to each other party at least one (1) Business Day prior to the effectiveness of such change. Written confirmation of receipt (A) given by the recipient of such notice, consent or other communication, (B) mechanically or electronically generated by the sender’s facsimile machine containing the time, date, and recipient facsimile number, (C) electronically generated by the sender’s electronic mail containing the time, date and recipient email address or (D) provided by a nationally recognized overnight delivery service, shall be rebuttable evidence of receipt in accordance with clause (i), (ii), (iii) or (iv) above, respectively.</w:t>
      </w:r>
    </w:p>
    <w:p>
      <w:pPr>
        <w:spacing w:after="0" w:line="188" w:lineRule="exact"/>
        <w:rPr>
          <w:sz w:val="20"/>
          <w:szCs w:val="20"/>
          <w:color w:val="auto"/>
        </w:rPr>
      </w:pPr>
    </w:p>
    <w:p>
      <w:pPr>
        <w:ind w:right="60" w:firstLine="439"/>
        <w:spacing w:after="0" w:line="258" w:lineRule="auto"/>
        <w:tabs>
          <w:tab w:leader="none" w:pos="7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respective successors and assigns. The Company shall not assign this Agreement or any rights or obligations hereunder without the prior written consent of the Buyer, including by merger or consolidation; provided, however, that any transaction, whether by merger, reorganization, restructuring, consolidation, financing or otherwise, whereby the Company remains the surviving entity immediately after such transaction, shall not be deemed a succession or assignment. The Buyer may not assign its rights or obligations under this Agreement.</w:t>
      </w:r>
    </w:p>
    <w:p>
      <w:pPr>
        <w:spacing w:after="0" w:line="183" w:lineRule="exact"/>
        <w:rPr>
          <w:rFonts w:ascii="Times New Roman" w:cs="Times New Roman" w:eastAsia="Times New Roman" w:hAnsi="Times New Roman"/>
          <w:sz w:val="18"/>
          <w:szCs w:val="18"/>
          <w:color w:val="auto"/>
        </w:rPr>
      </w:pPr>
    </w:p>
    <w:p>
      <w:pPr>
        <w:ind w:right="520" w:firstLine="439"/>
        <w:spacing w:after="0" w:line="282" w:lineRule="auto"/>
        <w:tabs>
          <w:tab w:leader="none" w:pos="7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is intended for the benefit of the parties hereto and their respective permitted successors and assigns, and is not for the benefit of, nor may any provision hereof be enforced by, any other person.</w:t>
      </w:r>
    </w:p>
    <w:p>
      <w:pPr>
        <w:spacing w:after="0" w:line="161" w:lineRule="exact"/>
        <w:rPr>
          <w:rFonts w:ascii="Times New Roman" w:cs="Times New Roman" w:eastAsia="Times New Roman" w:hAnsi="Times New Roman"/>
          <w:sz w:val="18"/>
          <w:szCs w:val="18"/>
          <w:color w:val="auto"/>
        </w:rPr>
      </w:pPr>
    </w:p>
    <w:p>
      <w:pPr>
        <w:ind w:right="160" w:firstLine="439"/>
        <w:spacing w:after="0" w:line="256" w:lineRule="auto"/>
        <w:tabs>
          <w:tab w:leader="none" w:pos="6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The Buyer shall have the right to approve before issuance any press release, SEC filing or any other public disclosure made by or on behalf of the Company whatsoever with respect to, in any manner, the Buyer, its purchases hereunder or any aspect of this Agreement or the transactions contemplated hereby; provided, however, that the Company shall be entitled, without the prior approval of the Buyer, to make any press release or other public disclosure (including any filings with the SEC) with respect to such transactions as is required by applicable law and regulations so long as the Company and its counsel consult with the Buyer in connection with any such press release or other public disclosure at least one (1) Business Day prior to its release. The Buyer must be provided with a copy thereof at least one (1) Business Day prior to any release or use by the Company thereof.</w:t>
      </w:r>
    </w:p>
    <w:p>
      <w:pPr>
        <w:spacing w:after="0" w:line="187" w:lineRule="exact"/>
        <w:rPr>
          <w:rFonts w:ascii="Times New Roman" w:cs="Times New Roman" w:eastAsia="Times New Roman" w:hAnsi="Times New Roman"/>
          <w:sz w:val="18"/>
          <w:szCs w:val="18"/>
          <w:color w:val="auto"/>
        </w:rPr>
      </w:pPr>
    </w:p>
    <w:p>
      <w:pPr>
        <w:ind w:right="280" w:firstLine="439"/>
        <w:spacing w:after="0" w:line="266" w:lineRule="auto"/>
        <w:tabs>
          <w:tab w:leader="none" w:pos="70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6" w:lineRule="exact"/>
        <w:rPr>
          <w:rFonts w:ascii="Times New Roman" w:cs="Times New Roman" w:eastAsia="Times New Roman" w:hAnsi="Times New Roman"/>
          <w:sz w:val="18"/>
          <w:szCs w:val="18"/>
          <w:color w:val="auto"/>
        </w:rPr>
      </w:pPr>
    </w:p>
    <w:p>
      <w:pPr>
        <w:ind w:left="780" w:hanging="291"/>
        <w:spacing w:after="0"/>
        <w:tabs>
          <w:tab w:leader="none" w:pos="7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only as follows:</w:t>
      </w:r>
    </w:p>
    <w:p>
      <w:pPr>
        <w:spacing w:after="0" w:line="225" w:lineRule="exact"/>
        <w:rPr>
          <w:sz w:val="20"/>
          <w:szCs w:val="20"/>
          <w:color w:val="auto"/>
        </w:rPr>
      </w:pPr>
    </w:p>
    <w:p>
      <w:pPr>
        <w:ind w:left="5520" w:right="3660" w:hanging="4565"/>
        <w:spacing w:after="0" w:line="532" w:lineRule="auto"/>
        <w:tabs>
          <w:tab w:leader="none" w:pos="121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Buyer any time an Event of Default exists, without any liability or payment to the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-92075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40" w:top="337" w:right="279" w:bottom="1440" w:gutter="0" w:footer="0" w:header="0"/>
        </w:sectPr>
      </w:pPr>
    </w:p>
    <w:bookmarkStart w:id="22" w:name="page23"/>
    <w:bookmarkEnd w:id="22"/>
    <w:p>
      <w:pPr>
        <w:ind w:left="520" w:right="500"/>
        <w:spacing w:after="0" w:line="272" w:lineRule="auto"/>
        <w:rPr>
          <w:sz w:val="20"/>
          <w:szCs w:val="20"/>
          <w:color w:val="auto"/>
        </w:rPr>
      </w:pPr>
      <w:r>
        <w:rPr>
          <w:rFonts w:ascii="Times New Roman" w:cs="Times New Roman" w:eastAsia="Times New Roman" w:hAnsi="Times New Roman"/>
          <w:sz w:val="17"/>
          <w:szCs w:val="17"/>
          <w:color w:val="auto"/>
        </w:rPr>
        <w:t xml:space="preserve">Company. However, if pursuant to or within the meaning of any Bankruptcy Law, the Company commences a voluntary case or any Person commences a proceeding against the Company, a Custodian is appointed for the Company or for all or substantially all of its property, or the Company makes a general assignment for the benefit of its creditors, (any of which would be an Event of Default as described in </w:t>
      </w:r>
      <w:r>
        <w:rPr>
          <w:rFonts w:ascii="Times New Roman" w:cs="Times New Roman" w:eastAsia="Times New Roman" w:hAnsi="Times New Roman"/>
          <w:sz w:val="17"/>
          <w:szCs w:val="17"/>
          <w:u w:val="single" w:color="auto"/>
          <w:color w:val="auto"/>
        </w:rPr>
        <w:t>Sections 9(f)</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ind w:left="520" w:right="20"/>
        <w:spacing w:after="0" w:line="254" w:lineRule="auto"/>
        <w:rPr>
          <w:sz w:val="20"/>
          <w:szCs w:val="20"/>
          <w:color w:val="auto"/>
        </w:rPr>
      </w:pPr>
      <w:r>
        <w:rPr>
          <w:rFonts w:ascii="Times New Roman" w:cs="Times New Roman" w:eastAsia="Times New Roman" w:hAnsi="Times New Roman"/>
          <w:sz w:val="18"/>
          <w:szCs w:val="18"/>
          <w:u w:val="single" w:color="auto"/>
          <w:color w:val="auto"/>
        </w:rPr>
        <w:t>9(g)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9(h)</w:t>
      </w:r>
      <w:r>
        <w:rPr>
          <w:rFonts w:ascii="Times New Roman" w:cs="Times New Roman" w:eastAsia="Times New Roman" w:hAnsi="Times New Roman"/>
          <w:sz w:val="18"/>
          <w:szCs w:val="18"/>
          <w:color w:val="auto"/>
        </w:rPr>
        <w:t xml:space="preserve"> hereof) this Agreement shall automatically terminate without any liability or payment to the Company without further action or notice by any Person. No such termination of this Agreement under this </w:t>
      </w:r>
      <w:r>
        <w:rPr>
          <w:rFonts w:ascii="Times New Roman" w:cs="Times New Roman" w:eastAsia="Times New Roman" w:hAnsi="Times New Roman"/>
          <w:sz w:val="18"/>
          <w:szCs w:val="18"/>
          <w:u w:val="single" w:color="auto"/>
          <w:color w:val="auto"/>
        </w:rPr>
        <w:t>Section 11(m)(i)</w:t>
      </w:r>
      <w:r>
        <w:rPr>
          <w:rFonts w:ascii="Times New Roman" w:cs="Times New Roman" w:eastAsia="Times New Roman" w:hAnsi="Times New Roman"/>
          <w:sz w:val="18"/>
          <w:szCs w:val="18"/>
          <w:color w:val="auto"/>
        </w:rPr>
        <w:t xml:space="preserve"> shall affect the Company’s or the Buyer’s obligations under this Agreement with respect to pending purchases and the Company and the Buyer shall complete their respective obligations with respect to any pending purchases under this Agreement.</w:t>
      </w:r>
    </w:p>
    <w:p>
      <w:pPr>
        <w:spacing w:after="0" w:line="186" w:lineRule="exact"/>
        <w:rPr>
          <w:sz w:val="20"/>
          <w:szCs w:val="20"/>
          <w:color w:val="auto"/>
        </w:rPr>
      </w:pPr>
    </w:p>
    <w:p>
      <w:pPr>
        <w:ind w:left="520" w:right="440" w:firstLine="435"/>
        <w:spacing w:after="0" w:line="282" w:lineRule="auto"/>
        <w:tabs>
          <w:tab w:leader="none" w:pos="13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Commencement shall not have occurred the Company shall have the option to terminate this Agreement for any reason or for no reason without any liability whatsoever of either party to the other party under this Agreement.</w:t>
      </w:r>
    </w:p>
    <w:p>
      <w:pPr>
        <w:spacing w:after="0" w:line="161" w:lineRule="exact"/>
        <w:rPr>
          <w:rFonts w:ascii="Times New Roman" w:cs="Times New Roman" w:eastAsia="Times New Roman" w:hAnsi="Times New Roman"/>
          <w:sz w:val="18"/>
          <w:szCs w:val="18"/>
          <w:color w:val="auto"/>
        </w:rPr>
      </w:pPr>
    </w:p>
    <w:p>
      <w:pPr>
        <w:ind w:left="520" w:firstLine="435"/>
        <w:spacing w:after="0" w:line="256" w:lineRule="auto"/>
        <w:tabs>
          <w:tab w:leader="none" w:pos="13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Commencement shall not have occurred within ten (10) Business Days of the date of this Agreement, due to the failure to satisfy any of the conditions set forth in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above with respect to the Commencement, either party shall have the option to terminate this Agreement at the close of business on such date or thereafter without liability of either party to any other party; provided, however, that the right to terminate this Agreement under this </w:t>
      </w:r>
      <w:r>
        <w:rPr>
          <w:rFonts w:ascii="Times New Roman" w:cs="Times New Roman" w:eastAsia="Times New Roman" w:hAnsi="Times New Roman"/>
          <w:sz w:val="18"/>
          <w:szCs w:val="18"/>
          <w:u w:val="single" w:color="auto"/>
          <w:color w:val="auto"/>
        </w:rPr>
        <w:t>Section 11(m)(iii)</w:t>
      </w:r>
      <w:r>
        <w:rPr>
          <w:rFonts w:ascii="Times New Roman" w:cs="Times New Roman" w:eastAsia="Times New Roman" w:hAnsi="Times New Roman"/>
          <w:sz w:val="18"/>
          <w:szCs w:val="18"/>
          <w:color w:val="auto"/>
        </w:rPr>
        <w:t xml:space="preserve"> shall not be available to either party if such failure to satisfy any of the conditions set forth in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is the result of a breach of this Agreement by such party or the failure of any representation or warranty of such party included in this Agreement to be true and correct in all material respects.</w:t>
      </w:r>
    </w:p>
    <w:p>
      <w:pPr>
        <w:spacing w:after="0" w:line="187" w:lineRule="exact"/>
        <w:rPr>
          <w:rFonts w:ascii="Times New Roman" w:cs="Times New Roman" w:eastAsia="Times New Roman" w:hAnsi="Times New Roman"/>
          <w:sz w:val="18"/>
          <w:szCs w:val="18"/>
          <w:color w:val="auto"/>
        </w:rPr>
      </w:pPr>
    </w:p>
    <w:p>
      <w:pPr>
        <w:ind w:left="520" w:right="120" w:firstLine="435"/>
        <w:spacing w:after="0" w:line="261" w:lineRule="auto"/>
        <w:tabs>
          <w:tab w:leader="none" w:pos="135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Commencement Date, so long as a purchase of a portion of the Purchase Shares is not in the process of being consummated and the date of the proposed termination is not within thirty (30) calendar days after the date of a Purchase Notice, the Company shall have the option to terminate this Agreement for any reason or for no reason by delivering notice to the Buyer electing to terminate this Agreement without any liability whatsoever of either party to the other party under this Agreement.</w:t>
      </w:r>
    </w:p>
    <w:p>
      <w:pPr>
        <w:spacing w:after="0" w:line="180" w:lineRule="exact"/>
        <w:rPr>
          <w:rFonts w:ascii="Times New Roman" w:cs="Times New Roman" w:eastAsia="Times New Roman" w:hAnsi="Times New Roman"/>
          <w:sz w:val="18"/>
          <w:szCs w:val="18"/>
          <w:color w:val="auto"/>
        </w:rPr>
      </w:pPr>
    </w:p>
    <w:p>
      <w:pPr>
        <w:ind w:left="1240" w:hanging="285"/>
        <w:spacing w:after="0"/>
        <w:tabs>
          <w:tab w:leader="none" w:pos="1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345"/>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20" w:right="120"/>
        <w:spacing w:after="0" w:line="255" w:lineRule="auto"/>
        <w:rPr>
          <w:sz w:val="20"/>
          <w:szCs w:val="20"/>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Sections 11(m)(i)</w:t>
      </w:r>
      <w:r>
        <w:rPr>
          <w:rFonts w:ascii="Times New Roman" w:cs="Times New Roman" w:eastAsia="Times New Roman" w:hAnsi="Times New Roman"/>
          <w:sz w:val="18"/>
          <w:szCs w:val="18"/>
          <w:color w:val="auto"/>
        </w:rPr>
        <w:t xml:space="preserve"> (in respect of an Event of Default under </w:t>
      </w:r>
      <w:r>
        <w:rPr>
          <w:rFonts w:ascii="Times New Roman" w:cs="Times New Roman" w:eastAsia="Times New Roman" w:hAnsi="Times New Roman"/>
          <w:sz w:val="18"/>
          <w:szCs w:val="18"/>
          <w:u w:val="single" w:color="auto"/>
          <w:color w:val="auto"/>
        </w:rPr>
        <w:t>Sections 9(f)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9(h)</w:t>
      </w:r>
      <w:r>
        <w:rPr>
          <w:rFonts w:ascii="Times New Roman" w:cs="Times New Roman" w:eastAsia="Times New Roman" w:hAnsi="Times New Roman"/>
          <w:sz w:val="18"/>
          <w:szCs w:val="18"/>
          <w:color w:val="auto"/>
        </w:rPr>
        <w:t xml:space="preserve">), any termination of this Agreement pursuant to this </w:t>
      </w:r>
      <w:r>
        <w:rPr>
          <w:rFonts w:ascii="Times New Roman" w:cs="Times New Roman" w:eastAsia="Times New Roman" w:hAnsi="Times New Roman"/>
          <w:sz w:val="18"/>
          <w:szCs w:val="18"/>
          <w:u w:val="single" w:color="auto"/>
          <w:color w:val="auto"/>
        </w:rPr>
        <w:t>Section 11(m)</w:t>
      </w:r>
      <w:r>
        <w:rPr>
          <w:rFonts w:ascii="Times New Roman" w:cs="Times New Roman" w:eastAsia="Times New Roman" w:hAnsi="Times New Roman"/>
          <w:sz w:val="18"/>
          <w:szCs w:val="18"/>
          <w:color w:val="auto"/>
        </w:rPr>
        <w:t xml:space="preserve"> shall be effected by written notice from the Company to the Buyer, or the Buyer to the Company, as the case may be, setting forth the basis for the termination hereof. The representations and warranties of the Company and the Buyer contained in </w:t>
      </w:r>
      <w:r>
        <w:rPr>
          <w:rFonts w:ascii="Times New Roman" w:cs="Times New Roman" w:eastAsia="Times New Roman" w:hAnsi="Times New Roman"/>
          <w:sz w:val="18"/>
          <w:szCs w:val="18"/>
          <w:u w:val="single" w:color="auto"/>
          <w:color w:val="auto"/>
        </w:rPr>
        <w:t>Sections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hereof, the indemnification provisions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hereof and the agreements and covenants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shall survive the Commencement and any termination of this Agreement. No termination of this Agreement shall affect the Company’s or the Buyer’s rights or obligations under the Agreement which shall survive any such termination in accordance with its terms or with respect to pending purchases and the Company and the Buyer shall complete their respective obligations with respect to any pending purchases under this Agreement.</w:t>
      </w:r>
    </w:p>
    <w:p>
      <w:pPr>
        <w:spacing w:after="0" w:line="189" w:lineRule="exact"/>
        <w:rPr>
          <w:sz w:val="20"/>
          <w:szCs w:val="20"/>
          <w:color w:val="auto"/>
        </w:rPr>
      </w:pPr>
    </w:p>
    <w:p>
      <w:pPr>
        <w:ind w:firstLine="439"/>
        <w:spacing w:after="0" w:line="258" w:lineRule="auto"/>
        <w:tabs>
          <w:tab w:leader="none" w:pos="69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Financial Advisor, Placement Agent, Broker or Finder</w:t>
      </w:r>
      <w:r>
        <w:rPr>
          <w:rFonts w:ascii="Times New Roman" w:cs="Times New Roman" w:eastAsia="Times New Roman" w:hAnsi="Times New Roman"/>
          <w:sz w:val="18"/>
          <w:szCs w:val="18"/>
          <w:color w:val="auto"/>
        </w:rPr>
        <w:t>. The Company represents and warrants to the Buyer that it has not engaged any financial advisor, placement agent, broker or finder in connection with the transactions contemplated hereby. The Buyer represents and warrants to the Company that it has not engaged any financial advisor, placement agent, broker or finder in connection with the transactions contemplated hereby. Each party shall be responsible for the payment of any fees or commissions, if any, of any financial advisor, placement agent, broker or finder engaged by such party relating to or arising out of the transactions contemplated hereby. Each party shall pay, and hold the other</w:t>
      </w:r>
    </w:p>
    <w:p>
      <w:pPr>
        <w:spacing w:after="0" w:line="18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340" w:top="337" w:right="259" w:bottom="1440" w:gutter="0" w:footer="0" w:header="0"/>
        </w:sectPr>
      </w:pPr>
    </w:p>
    <w:bookmarkStart w:id="23" w:name="page24"/>
    <w:bookmarkEnd w:id="23"/>
    <w:p>
      <w:pPr>
        <w:ind w:right="160"/>
        <w:spacing w:after="0" w:line="282" w:lineRule="auto"/>
        <w:rPr>
          <w:sz w:val="20"/>
          <w:szCs w:val="20"/>
          <w:color w:val="auto"/>
        </w:rPr>
      </w:pPr>
      <w:r>
        <w:rPr>
          <w:rFonts w:ascii="Times New Roman" w:cs="Times New Roman" w:eastAsia="Times New Roman" w:hAnsi="Times New Roman"/>
          <w:sz w:val="18"/>
          <w:szCs w:val="18"/>
          <w:color w:val="auto"/>
        </w:rPr>
        <w:t>party harmless against, any liability, loss or expense (including, without limitation, attorneys’ fees and out of pocket expenses) arising in connection with any such claim.</w:t>
      </w:r>
    </w:p>
    <w:p>
      <w:pPr>
        <w:spacing w:after="0" w:line="162" w:lineRule="exact"/>
        <w:rPr>
          <w:sz w:val="20"/>
          <w:szCs w:val="20"/>
          <w:color w:val="auto"/>
        </w:rPr>
      </w:pPr>
    </w:p>
    <w:p>
      <w:pPr>
        <w:ind w:right="240" w:firstLine="439"/>
        <w:spacing w:after="0" w:line="282" w:lineRule="auto"/>
        <w:tabs>
          <w:tab w:leader="none" w:pos="78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rules of strict construction will be applied against any party.</w:t>
      </w:r>
    </w:p>
    <w:p>
      <w:pPr>
        <w:spacing w:after="0" w:line="161" w:lineRule="exact"/>
        <w:rPr>
          <w:rFonts w:ascii="Times New Roman" w:cs="Times New Roman" w:eastAsia="Times New Roman" w:hAnsi="Times New Roman"/>
          <w:sz w:val="18"/>
          <w:szCs w:val="18"/>
          <w:color w:val="auto"/>
        </w:rPr>
      </w:pPr>
    </w:p>
    <w:p>
      <w:pPr>
        <w:ind w:firstLine="439"/>
        <w:spacing w:after="0" w:line="266" w:lineRule="auto"/>
        <w:tabs>
          <w:tab w:leader="none" w:pos="74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or Indulgence Not Waiver</w:t>
      </w:r>
      <w:r>
        <w:rPr>
          <w:rFonts w:ascii="Times New Roman" w:cs="Times New Roman" w:eastAsia="Times New Roman" w:hAnsi="Times New Roman"/>
          <w:sz w:val="18"/>
          <w:szCs w:val="18"/>
          <w:color w:val="auto"/>
        </w:rPr>
        <w:t>. No failure or delay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72" w:lineRule="exact"/>
        <w:rPr>
          <w:sz w:val="20"/>
          <w:szCs w:val="20"/>
          <w:color w:val="auto"/>
        </w:rPr>
      </w:pPr>
    </w:p>
    <w:p>
      <w:pPr>
        <w:ind w:left="4700"/>
        <w:spacing w:after="0"/>
        <w:tabs>
          <w:tab w:leader="none" w:pos="5080" w:val="left"/>
          <w:tab w:leader="none" w:pos="5520" w:val="left"/>
          <w:tab w:leader="none" w:pos="5940" w:val="left"/>
          <w:tab w:leader="none" w:pos="642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83820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80"/>
          </w:cols>
          <w:pgMar w:left="340" w:top="337" w:right="379" w:bottom="1440" w:gutter="0" w:footer="0" w:header="0"/>
        </w:sectPr>
      </w:pPr>
    </w:p>
    <w:bookmarkStart w:id="24" w:name="page25"/>
    <w:bookmarkEnd w:id="24"/>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Buyer and the Company have caused this Common Stock Purchase Agreement to be duly executed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above.</w:t>
      </w:r>
    </w:p>
    <w:p>
      <w:pPr>
        <w:spacing w:after="0" w:line="1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JAGUAR HEALTH, INC.</w:t>
      </w:r>
    </w:p>
    <w:p>
      <w:pPr>
        <w:spacing w:after="0" w:line="200" w:lineRule="exact"/>
        <w:rPr>
          <w:sz w:val="20"/>
          <w:szCs w:val="20"/>
          <w:color w:val="auto"/>
        </w:rPr>
      </w:pPr>
    </w:p>
    <w:p>
      <w:pPr>
        <w:spacing w:after="0" w:line="245" w:lineRule="exact"/>
        <w:rPr>
          <w:sz w:val="20"/>
          <w:szCs w:val="20"/>
          <w:color w:val="auto"/>
        </w:rPr>
      </w:pPr>
    </w:p>
    <w:p>
      <w:pPr>
        <w:ind w:left="562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Lisa Conte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Lisa Conte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3877945</wp:posOffset>
            </wp:positionH>
            <wp:positionV relativeFrom="paragraph">
              <wp:posOffset>-130810</wp:posOffset>
            </wp:positionV>
            <wp:extent cx="3310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t>BUYER: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OASIS CAPITAL, LLC</w:t>
      </w:r>
    </w:p>
    <w:p>
      <w:pPr>
        <w:spacing w:after="0" w:line="200" w:lineRule="exact"/>
        <w:rPr>
          <w:sz w:val="20"/>
          <w:szCs w:val="20"/>
          <w:color w:val="auto"/>
        </w:rPr>
      </w:pPr>
    </w:p>
    <w:p>
      <w:pPr>
        <w:spacing w:after="0" w:line="245" w:lineRule="exact"/>
        <w:rPr>
          <w:sz w:val="20"/>
          <w:szCs w:val="20"/>
          <w:color w:val="auto"/>
        </w:rPr>
      </w:pPr>
    </w:p>
    <w:p>
      <w:pPr>
        <w:ind w:left="562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Adam Long</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Adam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3877945</wp:posOffset>
            </wp:positionH>
            <wp:positionV relativeFrom="paragraph">
              <wp:posOffset>-130810</wp:posOffset>
            </wp:positionV>
            <wp:extent cx="3310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83820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00"/>
      </w:cols>
      <w:pgMar w:left="340" w:top="33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o"/>
      <w:numFmt w:val="bullet"/>
      <w:start w:val="1"/>
    </w:lvl>
  </w:abstractNum>
  <w:abstractNum w:abstractNumId="1">
    <w:nsid w:val="628C895D"/>
    <w:multiLevelType w:val="hybridMultilevel"/>
    <w:lvl w:ilvl="0">
      <w:lvlJc w:val="left"/>
      <w:lvlText w:val="(%1)"/>
      <w:numFmt w:val="lowerRoman"/>
      <w:start w:val="10"/>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lvl w:ilvl="1">
      <w:lvlJc w:val="left"/>
      <w:lvlText w:val="(%2)"/>
      <w:numFmt w:val="lowerLetter"/>
      <w:start w:val="1"/>
    </w:lvl>
  </w:abstractNum>
  <w:abstractNum w:abstractNumId="4">
    <w:nsid w:val="2443A858"/>
    <w:multiLevelType w:val="hybridMultilevel"/>
    <w:lvl w:ilvl="0">
      <w:lvlJc w:val="left"/>
      <w:lvlText w:val="(%1)"/>
      <w:numFmt w:val="decimal"/>
      <w:start w:val="10"/>
    </w:lvl>
    <w:lvl w:ilvl="1">
      <w:lvlJc w:val="left"/>
      <w:lvlText w:val="%2"/>
      <w:numFmt w:val="lowerLetter"/>
      <w:start w:val="1"/>
    </w:lvl>
  </w:abstractNum>
  <w:abstractNum w:abstractNumId="5">
    <w:nsid w:val="2D1D5AE9"/>
    <w:multiLevelType w:val="hybridMultilevel"/>
    <w:lvl w:ilvl="0">
      <w:lvlJc w:val="left"/>
      <w:lvlText w:val="(%1)"/>
      <w:numFmt w:val="decimal"/>
      <w:start w:val="3"/>
    </w:lvl>
    <w:lvl w:ilvl="1">
      <w:lvlJc w:val="left"/>
      <w:lvlText w:val="(%2)"/>
      <w:numFmt w:val="lowerLetter"/>
      <w:start w:val="3"/>
    </w:lvl>
  </w:abstractNum>
  <w:abstractNum w:abstractNumId="6">
    <w:nsid w:val="6763845E"/>
    <w:multiLevelType w:val="hybridMultilevel"/>
    <w:lvl w:ilvl="0">
      <w:lvlJc w:val="left"/>
      <w:lvlText w:val="%1"/>
      <w:numFmt w:val="decimal"/>
      <w:start w:val="1"/>
    </w:lvl>
    <w:lvl w:ilvl="1">
      <w:lvlJc w:val="left"/>
      <w:lvlText w:val="(%2)"/>
      <w:numFmt w:val="lowerLetter"/>
      <w:start w:val="4"/>
    </w:lvl>
  </w:abstractNum>
  <w:abstractNum w:abstractNumId="7">
    <w:nsid w:val="75A2A8D4"/>
    <w:multiLevelType w:val="hybridMultilevel"/>
    <w:lvl w:ilvl="0">
      <w:lvlJc w:val="left"/>
      <w:lvlText w:val="%1."/>
      <w:numFmt w:val="decimal"/>
      <w:start w:val="2"/>
    </w:lvl>
    <w:lvl w:ilvl="1">
      <w:lvlJc w:val="left"/>
      <w:lvlText w:val="%2"/>
      <w:numFmt w:val="lowerLetter"/>
      <w:start w:val="1"/>
    </w:lvl>
  </w:abstractNum>
  <w:abstractNum w:abstractNumId="8">
    <w:nsid w:val="8EDBDAB"/>
    <w:multiLevelType w:val="hybridMultilevel"/>
    <w:lvl w:ilvl="0">
      <w:lvlJc w:val="left"/>
      <w:lvlText w:val="(%1)"/>
      <w:numFmt w:val="lowerLetter"/>
      <w:start w:val="1"/>
    </w:lvl>
  </w:abstractNum>
  <w:abstractNum w:abstractNumId="9">
    <w:nsid w:val="79838CB2"/>
    <w:multiLevelType w:val="hybridMultilevel"/>
    <w:lvl w:ilvl="0">
      <w:lvlJc w:val="left"/>
      <w:lvlText w:val="(%1)"/>
      <w:numFmt w:val="lowerLetter"/>
      <w:start w:val="2"/>
    </w:lvl>
    <w:lvl w:ilvl="1">
      <w:lvlJc w:val="left"/>
      <w:lvlText w:val="(%2)"/>
      <w:numFmt w:val="lowerLetter"/>
      <w:start w:val="8"/>
    </w:lvl>
  </w:abstractNum>
  <w:abstractNum w:abstractNumId="10">
    <w:nsid w:val="4353D0CD"/>
    <w:multiLevelType w:val="hybridMultilevel"/>
    <w:lvl w:ilvl="0">
      <w:lvlJc w:val="left"/>
      <w:lvlText w:val="%1"/>
      <w:numFmt w:val="decimal"/>
      <w:start w:val="1"/>
    </w:lvl>
    <w:lvl w:ilvl="1">
      <w:lvlJc w:val="left"/>
      <w:lvlText w:val="(%2)"/>
      <w:numFmt w:val="lowerLetter"/>
      <w:start w:val="9"/>
    </w:lvl>
  </w:abstractNum>
  <w:abstractNum w:abstractNumId="11">
    <w:nsid w:val="B03E0C6"/>
    <w:multiLevelType w:val="hybridMultilevel"/>
    <w:lvl w:ilvl="0">
      <w:lvlJc w:val="left"/>
      <w:lvlText w:val="%1."/>
      <w:numFmt w:val="decimal"/>
      <w:start w:val="3"/>
    </w:lvl>
    <w:lvl w:ilvl="1">
      <w:lvlJc w:val="left"/>
      <w:lvlText w:val="%2"/>
      <w:numFmt w:val="lowerLetter"/>
      <w:start w:val="1"/>
    </w:lvl>
  </w:abstractNum>
  <w:abstractNum w:abstractNumId="12">
    <w:nsid w:val="189A769B"/>
    <w:multiLevelType w:val="hybridMultilevel"/>
    <w:lvl w:ilvl="0">
      <w:lvlJc w:val="left"/>
      <w:lvlText w:val="(%1)"/>
      <w:numFmt w:val="lowerLetter"/>
      <w:start w:val="1"/>
    </w:lvl>
  </w:abstractNum>
  <w:abstractNum w:abstractNumId="13">
    <w:nsid w:val="54E49EB4"/>
    <w:multiLevelType w:val="hybridMultilevel"/>
    <w:lvl w:ilvl="0">
      <w:lvlJc w:val="left"/>
      <w:lvlText w:val="(%1)"/>
      <w:numFmt w:val="lowerLetter"/>
      <w:start w:val="2"/>
    </w:lvl>
    <w:lvl w:ilvl="1">
      <w:lvlJc w:val="left"/>
      <w:lvlText w:val="(%2)"/>
      <w:numFmt w:val="lowerLetter"/>
      <w:start w:val="3"/>
    </w:lvl>
  </w:abstractNum>
  <w:abstractNum w:abstractNumId="14">
    <w:nsid w:val="71F32454"/>
    <w:multiLevelType w:val="hybridMultilevel"/>
    <w:lvl w:ilvl="0">
      <w:lvlJc w:val="left"/>
      <w:lvlText w:val="(%1)"/>
      <w:numFmt w:val="lowerLetter"/>
      <w:start w:val="4"/>
    </w:lvl>
    <w:lvl w:ilvl="1">
      <w:lvlJc w:val="left"/>
      <w:lvlText w:val="(%2)"/>
      <w:numFmt w:val="lowerLetter"/>
      <w:start w:val="5"/>
    </w:lvl>
  </w:abstractNum>
  <w:abstractNum w:abstractNumId="15">
    <w:nsid w:val="2CA88611"/>
    <w:multiLevelType w:val="hybridMultilevel"/>
    <w:lvl w:ilvl="0">
      <w:lvlJc w:val="left"/>
      <w:lvlText w:val="%1"/>
      <w:numFmt w:val="lowerLetter"/>
      <w:start w:val="1"/>
    </w:lvl>
    <w:lvl w:ilvl="1">
      <w:lvlJc w:val="left"/>
      <w:lvlText w:val="(%2)"/>
      <w:numFmt w:val="lowerLetter"/>
      <w:start w:val="6"/>
    </w:lvl>
  </w:abstractNum>
  <w:abstractNum w:abstractNumId="16">
    <w:nsid w:val="836C40E"/>
    <w:multiLevelType w:val="hybridMultilevel"/>
    <w:lvl w:ilvl="0">
      <w:lvlJc w:val="left"/>
      <w:lvlText w:val="(%1)"/>
      <w:numFmt w:val="lowerLetter"/>
      <w:start w:val="8"/>
    </w:lvl>
    <w:lvl w:ilvl="1">
      <w:lvlJc w:val="left"/>
      <w:lvlText w:val="%2"/>
      <w:numFmt w:val="lowerLetter"/>
      <w:start w:val="1"/>
    </w:lvl>
  </w:abstractNum>
  <w:abstractNum w:abstractNumId="17">
    <w:nsid w:val="2901D82"/>
    <w:multiLevelType w:val="hybridMultilevel"/>
    <w:lvl w:ilvl="0">
      <w:lvlJc w:val="left"/>
      <w:lvlText w:val="(%1)"/>
      <w:numFmt w:val="lowerLetter"/>
      <w:start w:val="10"/>
    </w:lvl>
  </w:abstractNum>
  <w:abstractNum w:abstractNumId="18">
    <w:nsid w:val="3A95F874"/>
    <w:multiLevelType w:val="hybridMultilevel"/>
    <w:lvl w:ilvl="0">
      <w:lvlJc w:val="left"/>
      <w:lvlText w:val="(%1)"/>
      <w:numFmt w:val="lowerLetter"/>
      <w:start w:val="15"/>
    </w:lvl>
    <w:lvl w:ilvl="1">
      <w:lvlJc w:val="left"/>
      <w:lvlText w:val="(%2)"/>
      <w:numFmt w:val="lowerLetter"/>
      <w:start w:val="17"/>
    </w:lvl>
  </w:abstractNum>
  <w:abstractNum w:abstractNumId="19">
    <w:nsid w:val="8138641"/>
    <w:multiLevelType w:val="hybridMultilevel"/>
    <w:lvl w:ilvl="0">
      <w:lvlJc w:val="left"/>
      <w:lvlText w:val="%1"/>
      <w:numFmt w:val="decimal"/>
      <w:start w:val="1"/>
    </w:lvl>
    <w:lvl w:ilvl="1">
      <w:lvlJc w:val="left"/>
      <w:lvlText w:val="(%2)"/>
      <w:numFmt w:val="lowerLetter"/>
      <w:start w:val="18"/>
    </w:lvl>
  </w:abstractNum>
  <w:abstractNum w:abstractNumId="20">
    <w:nsid w:val="1E7FF521"/>
    <w:multiLevelType w:val="hybridMultilevel"/>
    <w:lvl w:ilvl="0">
      <w:lvlJc w:val="left"/>
      <w:lvlText w:val="%1."/>
      <w:numFmt w:val="decimal"/>
      <w:start w:val="4"/>
    </w:lvl>
    <w:lvl w:ilvl="1">
      <w:lvlJc w:val="left"/>
      <w:lvlText w:val="(%2)"/>
      <w:numFmt w:val="lowerLetter"/>
      <w:start w:val="1"/>
    </w:lvl>
  </w:abstractNum>
  <w:abstractNum w:abstractNumId="21">
    <w:nsid w:val="7C3DBD3D"/>
    <w:multiLevelType w:val="hybridMultilevel"/>
    <w:lvl w:ilvl="0">
      <w:lvlJc w:val="left"/>
      <w:lvlText w:val="%1"/>
      <w:numFmt w:val="decimal"/>
      <w:start w:val="1"/>
    </w:lvl>
    <w:lvl w:ilvl="1">
      <w:lvlJc w:val="left"/>
      <w:lvlText w:val="(%2)"/>
      <w:numFmt w:val="lowerLetter"/>
      <w:start w:val="2"/>
    </w:lvl>
  </w:abstractNum>
  <w:abstractNum w:abstractNumId="22">
    <w:nsid w:val="737B8DDC"/>
    <w:multiLevelType w:val="hybridMultilevel"/>
    <w:lvl w:ilvl="0">
      <w:lvlJc w:val="left"/>
      <w:lvlText w:val="%1."/>
      <w:numFmt w:val="decimal"/>
      <w:start w:val="5"/>
    </w:lvl>
    <w:lvl w:ilvl="1">
      <w:lvlJc w:val="left"/>
      <w:lvlText w:val="%2"/>
      <w:numFmt w:val="lowerLetter"/>
      <w:start w:val="1"/>
    </w:lvl>
  </w:abstractNum>
  <w:abstractNum w:abstractNumId="23">
    <w:nsid w:val="6CEAF087"/>
    <w:multiLevelType w:val="hybridMultilevel"/>
    <w:lvl w:ilvl="0">
      <w:lvlJc w:val="left"/>
      <w:lvlText w:val="%1."/>
      <w:numFmt w:val="decimal"/>
      <w:start w:val="6"/>
    </w:lvl>
  </w:abstractNum>
  <w:abstractNum w:abstractNumId="24">
    <w:nsid w:val="22221A70"/>
    <w:multiLevelType w:val="hybridMultilevel"/>
    <w:lvl w:ilvl="0">
      <w:lvlJc w:val="left"/>
      <w:lvlText w:val="(%1)"/>
      <w:numFmt w:val="lowerLetter"/>
      <w:start w:val="1"/>
    </w:lvl>
  </w:abstractNum>
  <w:abstractNum w:abstractNumId="25">
    <w:nsid w:val="4516DDE9"/>
    <w:multiLevelType w:val="hybridMultilevel"/>
    <w:lvl w:ilvl="0">
      <w:lvlJc w:val="left"/>
      <w:lvlText w:val="%1."/>
      <w:numFmt w:val="decimal"/>
      <w:start w:val="7"/>
    </w:lvl>
  </w:abstractNum>
  <w:abstractNum w:abstractNumId="26">
    <w:nsid w:val="3006C83E"/>
    <w:multiLevelType w:val="hybridMultilevel"/>
    <w:lvl w:ilvl="0">
      <w:lvlJc w:val="left"/>
      <w:lvlText w:val="(%1)"/>
      <w:numFmt w:val="lowerLetter"/>
      <w:start w:val="1"/>
    </w:lvl>
    <w:lvl w:ilvl="1">
      <w:lvlJc w:val="left"/>
      <w:lvlText w:val="(%2)"/>
      <w:numFmt w:val="lowerLetter"/>
      <w:start w:val="2"/>
    </w:lvl>
  </w:abstractNum>
  <w:abstractNum w:abstractNumId="27">
    <w:nsid w:val="614FD4A1"/>
    <w:multiLevelType w:val="hybridMultilevel"/>
    <w:lvl w:ilvl="0">
      <w:lvlJc w:val="left"/>
      <w:lvlText w:val="%1"/>
      <w:numFmt w:val="decimal"/>
      <w:start w:val="1"/>
    </w:lvl>
    <w:lvl w:ilvl="1">
      <w:lvlJc w:val="left"/>
      <w:lvlText w:val="(%2)"/>
      <w:numFmt w:val="lowerLetter"/>
      <w:start w:val="7"/>
    </w:lvl>
  </w:abstractNum>
  <w:abstractNum w:abstractNumId="28">
    <w:nsid w:val="419AC241"/>
    <w:multiLevelType w:val="hybridMultilevel"/>
    <w:lvl w:ilvl="0">
      <w:lvlJc w:val="left"/>
      <w:lvlText w:val="%1."/>
      <w:numFmt w:val="decimal"/>
      <w:start w:val="8"/>
    </w:lvl>
    <w:lvl w:ilvl="1">
      <w:lvlJc w:val="left"/>
      <w:lvlText w:val="%2"/>
      <w:numFmt w:val="lowerLetter"/>
      <w:start w:val="1"/>
    </w:lvl>
  </w:abstractNum>
  <w:abstractNum w:abstractNumId="29">
    <w:nsid w:val="5577F8E1"/>
    <w:multiLevelType w:val="hybridMultilevel"/>
    <w:lvl w:ilvl="0">
      <w:lvlJc w:val="left"/>
      <w:lvlText w:val="%1."/>
      <w:numFmt w:val="decimal"/>
      <w:start w:val="9"/>
    </w:lvl>
  </w:abstractNum>
  <w:abstractNum w:abstractNumId="30">
    <w:nsid w:val="440BADFC"/>
    <w:multiLevelType w:val="hybridMultilevel"/>
    <w:lvl w:ilvl="0">
      <w:lvlJc w:val="left"/>
      <w:lvlText w:val="(%1)"/>
      <w:numFmt w:val="lowerLetter"/>
      <w:start w:val="1"/>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8"/>
    </w:lvl>
  </w:abstractNum>
  <w:abstractNum w:abstractNumId="33">
    <w:nsid w:val="77465F01"/>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34">
    <w:nsid w:val="7724C67E"/>
    <w:multiLevelType w:val="hybridMultilevel"/>
    <w:lvl w:ilvl="0">
      <w:lvlJc w:val="left"/>
      <w:lvlText w:val="(%1)"/>
      <w:numFmt w:val="lowerLetter"/>
      <w:start w:val="3"/>
    </w:lvl>
    <w:lvl w:ilvl="1">
      <w:lvlJc w:val="left"/>
      <w:lvlText w:val="(%2)"/>
      <w:numFmt w:val="lowerLetter"/>
      <w:start w:val="5"/>
    </w:lvl>
  </w:abstractNum>
  <w:abstractNum w:abstractNumId="35">
    <w:nsid w:val="5C482A97"/>
    <w:multiLevelType w:val="hybridMultilevel"/>
    <w:lvl w:ilvl="0">
      <w:lvlJc w:val="left"/>
      <w:lvlText w:val="(%1)"/>
      <w:numFmt w:val="lowerLetter"/>
      <w:start w:val="9"/>
    </w:lvl>
    <w:lvl w:ilvl="1">
      <w:lvlJc w:val="left"/>
      <w:lvlText w:val="(%2)"/>
      <w:numFmt w:val="lowerLetter"/>
      <w:start w:val="13"/>
    </w:lvl>
  </w:abstractNum>
  <w:abstractNum w:abstractNumId="36">
    <w:nsid w:val="2463B9EA"/>
    <w:multiLevelType w:val="hybridMultilevel"/>
    <w:lvl w:ilvl="0">
      <w:lvlJc w:val="left"/>
      <w:lvlText w:val="(%1)"/>
      <w:numFmt w:val="lowerRoman"/>
      <w:start w:val="1"/>
    </w:lvl>
  </w:abstractNum>
  <w:abstractNum w:abstractNumId="37">
    <w:nsid w:val="5E884ADC"/>
    <w:multiLevelType w:val="hybridMultilevel"/>
    <w:lvl w:ilvl="0">
      <w:lvlJc w:val="left"/>
      <w:lvlText w:val="(%1)"/>
      <w:numFmt w:val="lowerRoman"/>
      <w:start w:val="2"/>
    </w:lvl>
  </w:abstractNum>
  <w:abstractNum w:abstractNumId="38">
    <w:nsid w:val="51EAD36B"/>
    <w:multiLevelType w:val="hybridMultilevel"/>
    <w:lvl w:ilvl="0">
      <w:lvlJc w:val="left"/>
      <w:lvlText w:val="(%1)"/>
      <w:numFmt w:val="lowerLetter"/>
      <w:start w:val="14"/>
    </w:lvl>
  </w:abstractNum>
  <w:abstractNum w:abstractNumId="39">
    <w:nsid w:val="2D517796"/>
    <w:multiLevelType w:val="hybridMultilevel"/>
    <w:lvl w:ilvl="0">
      <w:lvlJc w:val="left"/>
      <w:lvlText w:val="(%1)"/>
      <w:numFmt w:val="lowerLetter"/>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2019-12-28T14:06:43Z</dcterms:created>
  <dcterms:modified xsi:type="dcterms:W3CDTF">2019-12-28T14:06:43Z</dcterms:modified>
</cp:coreProperties>
</file>