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8"/>
        </w:rPr>
      </w:pPr>
      <w:bookmarkStart w:id="0" w:name="d47881ds1.htm"/>
      <w:bookmarkStart w:id="1" w:name="ksd47881ds1"/>
      <w:bookmarkEnd w:id="0"/>
      <w:bookmarkEnd w:id="1"/>
      <w:r>
        <w:rPr>
          <w:rFonts w:ascii="Times New Roman" w:hAnsi="Times New Roman"/>
          <w:b/>
          <w:sz w:val="18"/>
        </w:rPr>
        <w:t xml:space="preserve">As filed with the Securities and Exchange Commission on July 15,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44"/>
        </w:rPr>
      </w:pPr>
      <w:r>
        <w:rPr>
          <w:rFonts w:ascii="Times New Roman" w:hAnsi="Times New Roman"/>
          <w:b/>
          <w:sz w:val="44"/>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46-2956775</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00" w:after="0"/>
        <w:jc w:val="center"/>
        <w:rPr>
          <w:rFonts w:ascii="Times New Roman" w:hAnsi="Times New Roman"/>
          <w:b/>
          <w:sz w:val="16"/>
        </w:rPr>
      </w:pPr>
      <w:r>
        <w:rPr>
          <w:rFonts w:ascii="Times New Roman" w:hAnsi="Times New Roman"/>
          <w:b/>
          <w:sz w:val="16"/>
        </w:rPr>
        <w:t xml:space="preserve">200 Pine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California 94104 </w:t>
      </w:r>
    </w:p>
    <w:p>
      <w:pPr>
        <w:pStyle w:val="TextBody"/>
        <w:bidi w:val="0"/>
        <w:spacing w:before="0" w:after="0"/>
        <w:jc w:val="center"/>
        <w:rPr>
          <w:rFonts w:ascii="Times New Roman" w:hAnsi="Times New Roman"/>
          <w:b/>
          <w:sz w:val="16"/>
        </w:rPr>
      </w:pPr>
      <w:r>
        <w:rPr>
          <w:rFonts w:ascii="Times New Roman" w:hAnsi="Times New Roman"/>
          <w:b/>
          <w:sz w:val="16"/>
        </w:rPr>
        <w:t xml:space="preserve">(415) 371-8300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100" w:after="0"/>
        <w:jc w:val="center"/>
        <w:rPr>
          <w:rFonts w:ascii="Times New Roman" w:hAnsi="Times New Roman"/>
          <w:b/>
          <w:sz w:val="16"/>
        </w:rPr>
      </w:pPr>
      <w:r>
        <w:rPr>
          <w:rFonts w:ascii="Times New Roman" w:hAnsi="Times New Roman"/>
          <w:b/>
          <w:sz w:val="16"/>
        </w:rPr>
        <w:t xml:space="preserve">Lisa A. Conte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and President </w:t>
      </w:r>
    </w:p>
    <w:p>
      <w:pPr>
        <w:pStyle w:val="TextBody"/>
        <w:bidi w:val="0"/>
        <w:spacing w:before="0" w:after="0"/>
        <w:jc w:val="center"/>
        <w:rPr>
          <w:rFonts w:ascii="Times New Roman" w:hAnsi="Times New Roman"/>
          <w:b/>
          <w:sz w:val="16"/>
        </w:rPr>
      </w:pPr>
      <w:r>
        <w:rPr>
          <w:rFonts w:ascii="Times New Roman" w:hAnsi="Times New Roman"/>
          <w:b/>
          <w:sz w:val="16"/>
        </w:rPr>
        <w:t xml:space="preserve">200 Pine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400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California 94104 </w:t>
      </w:r>
    </w:p>
    <w:p>
      <w:pPr>
        <w:pStyle w:val="TextBody"/>
        <w:bidi w:val="0"/>
        <w:spacing w:before="0" w:after="0"/>
        <w:jc w:val="center"/>
        <w:rPr>
          <w:rFonts w:ascii="Times New Roman" w:hAnsi="Times New Roman"/>
          <w:b/>
          <w:sz w:val="16"/>
        </w:rPr>
      </w:pPr>
      <w:r>
        <w:rPr>
          <w:rFonts w:ascii="Times New Roman" w:hAnsi="Times New Roman"/>
          <w:b/>
          <w:sz w:val="16"/>
        </w:rPr>
        <w:t xml:space="preserve">(415) 371-8300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00" w:after="0"/>
        <w:jc w:val="center"/>
        <w:rPr>
          <w:rFonts w:ascii="Times New Roman" w:hAnsi="Times New Roman"/>
          <w:b/>
          <w:sz w:val="16"/>
        </w:rPr>
      </w:pPr>
      <w:r>
        <w:rPr>
          <w:rFonts w:ascii="Times New Roman" w:hAnsi="Times New Roman"/>
          <w:b/>
          <w:sz w:val="16"/>
        </w:rPr>
        <w:t xml:space="preserve">Michael S. Lee, Esq. </w:t>
      </w:r>
    </w:p>
    <w:p>
      <w:pPr>
        <w:pStyle w:val="TextBody"/>
        <w:bidi w:val="0"/>
        <w:spacing w:before="0" w:after="0"/>
        <w:jc w:val="center"/>
        <w:rPr>
          <w:rFonts w:ascii="Times New Roman" w:hAnsi="Times New Roman"/>
          <w:b/>
          <w:sz w:val="16"/>
        </w:rPr>
      </w:pPr>
      <w:r>
        <w:rPr>
          <w:rFonts w:ascii="Times New Roman" w:hAnsi="Times New Roman"/>
          <w:b/>
          <w:sz w:val="16"/>
        </w:rPr>
        <w:t xml:space="preserve">Donald C. Reinke, Esq. </w:t>
      </w:r>
    </w:p>
    <w:p>
      <w:pPr>
        <w:pStyle w:val="TextBody"/>
        <w:bidi w:val="0"/>
        <w:spacing w:before="0" w:after="0"/>
        <w:jc w:val="center"/>
        <w:rPr>
          <w:rFonts w:ascii="Times New Roman" w:hAnsi="Times New Roman"/>
          <w:b/>
          <w:sz w:val="16"/>
        </w:rPr>
      </w:pPr>
      <w:r>
        <w:rPr>
          <w:rFonts w:ascii="Times New Roman" w:hAnsi="Times New Roman"/>
          <w:b/>
          <w:sz w:val="16"/>
        </w:rPr>
        <w:t xml:space="preserve">Reed Smith LLP </w:t>
      </w:r>
    </w:p>
    <w:p>
      <w:pPr>
        <w:pStyle w:val="TextBody"/>
        <w:bidi w:val="0"/>
        <w:spacing w:before="0" w:after="0"/>
        <w:jc w:val="center"/>
        <w:rPr>
          <w:rFonts w:ascii="Times New Roman" w:hAnsi="Times New Roman"/>
          <w:b/>
          <w:sz w:val="16"/>
        </w:rPr>
      </w:pPr>
      <w:r>
        <w:rPr>
          <w:rFonts w:ascii="Times New Roman" w:hAnsi="Times New Roman"/>
          <w:b/>
          <w:sz w:val="16"/>
        </w:rPr>
        <w:t xml:space="preserve">1841 Page Mill Road, Suite 110 </w:t>
      </w:r>
    </w:p>
    <w:p>
      <w:pPr>
        <w:pStyle w:val="TextBody"/>
        <w:bidi w:val="0"/>
        <w:spacing w:before="0" w:after="0"/>
        <w:jc w:val="center"/>
        <w:rPr>
          <w:rFonts w:ascii="Times New Roman" w:hAnsi="Times New Roman"/>
          <w:b/>
          <w:sz w:val="16"/>
        </w:rPr>
      </w:pPr>
      <w:r>
        <w:rPr>
          <w:rFonts w:ascii="Times New Roman" w:hAnsi="Times New Roman"/>
          <w:b/>
          <w:sz w:val="16"/>
        </w:rPr>
        <w:t xml:space="preserve">Palo Alto, CA 94304 </w:t>
      </w:r>
    </w:p>
    <w:p>
      <w:pPr>
        <w:pStyle w:val="TextBody"/>
        <w:bidi w:val="0"/>
        <w:spacing w:before="0" w:after="0"/>
        <w:jc w:val="center"/>
        <w:rPr>
          <w:rFonts w:ascii="Times New Roman" w:hAnsi="Times New Roman"/>
          <w:b/>
          <w:sz w:val="16"/>
        </w:rPr>
      </w:pPr>
      <w:r>
        <w:rPr>
          <w:rFonts w:ascii="Times New Roman" w:hAnsi="Times New Roman"/>
          <w:b/>
          <w:sz w:val="16"/>
        </w:rPr>
        <w:t xml:space="preserve">(650) 352-0500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sz w:val="16"/>
        </w:rPr>
      </w:pPr>
      <w:r>
        <w:rPr>
          <w:rFonts w:ascii="Times New Roman" w:hAnsi="Times New Roman"/>
          <w:sz w:val="16"/>
        </w:rPr>
        <w:t xml:space="preserve">Approximate date of commencement of proposed sale to the public: </w:t>
      </w:r>
    </w:p>
    <w:p>
      <w:pPr>
        <w:pStyle w:val="TextBody"/>
        <w:bidi w:val="0"/>
        <w:spacing w:before="0" w:after="0"/>
        <w:jc w:val="center"/>
        <w:rPr>
          <w:rFonts w:ascii="Times New Roman" w:hAnsi="Times New Roman"/>
          <w:sz w:val="16"/>
        </w:rPr>
      </w:pPr>
      <w:r>
        <w:rPr>
          <w:rFonts w:ascii="Times New Roman" w:hAnsi="Times New Roman"/>
          <w:sz w:val="16"/>
        </w:rPr>
        <w:t xml:space="preserve">As soon as practicable after this Registration Statement becomes effective.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used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0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3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3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10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 Selling Stockholder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center"/>
              <w:rPr>
                <w:b/>
                <w:color w:val="FF4338"/>
              </w:rPr>
            </w:pPr>
            <w:r>
              <w:rPr>
                <w:b/>
                <w:color w:val="FF4338"/>
              </w:rPr>
              <w:t>PRELIMINARY PROSPECTUS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color w:val="FF4338"/>
              </w:rPr>
            </w:pPr>
            <w:r>
              <w:rPr>
                <w:b/>
                <w:color w:val="FF4338"/>
              </w:rPr>
              <w:t>SUBJECT TO COMPLETION</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center"/>
              <w:rPr>
                <w:b/>
                <w:color w:val="FF4338"/>
              </w:rPr>
            </w:pPr>
            <w:r>
              <w:rPr>
                <w:b/>
                <w:color w:val="FF4338"/>
              </w:rPr>
              <w:t>DATED JULY 15, 2026</w:t>
            </w:r>
          </w:p>
        </w:tc>
      </w:tr>
    </w:tbl>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4239260" cy="1116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9260" cy="111696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Resale of up to 40,800,000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prospectus relates to the potential resale from time to time by C/M Capital Master Fund, LP (the “Selling Stockholder”) of up to 40,800,000 shares of voting common stock, par value $0.0001 per share, of Jaguar Health, Inc. (the “Company,” “we,” “our” or “us”). The shares of common stock to which this prospectus relates consist of shares that have been or may be issued by us to the Selling Stockholder pursuant to a common stock purchase agreement, dated as of June 9, 2026, by and between us and the Selling Stockholder (the “Purchase Agreement”), establishing an equity line of credit. Such shares of our common stock include (i) up to 40,000,000 shares of common stock, or the Purchase Shares, that we may elect, in our sole discretion, subject to the restrictions and satisfaction of the conditions in the Purchase Agreement, to issue and sell to the Selling Stockholder, from time to time from and after the Commencement Date (as defined below) under the Purchase Agreement, and subject to applicable stock exchange rules, and (ii) up to 800,000 shares of common stock (the “Commitment Shares”), all of which have been issued as of the date of this prospectus to the Selling Stockholder in connection with related issuances and sales of Purchase Shares as consideration for the Selling Stockholder’s execution and delivery of the Purchase Agreement.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actual number of shares of our common stock issuable will vary depending on the then-current market price of shares of our common stock sold to the Selling Stockholder under the Purchase Agreement, but will not exceed the number set forth in the preceding paragraphs unless we file an additional registration statement under the Securities Act of 1933, as amended (“Securities Act”), with the U.S. Securities and Exchange Commission (the “SEC”).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are not selling any securities under this prospectus and will not receive any of the proceeds from the sale of the shares of our common stock by the Selling Stockholder. Additionally, we will not receive any proceeds from the issuance or sale of any Commitment Shares. However, we may receive up to $40 million in aggregate gross proceeds from the sale of the shares of common stock to the Selling Stockholder under the Purchase Agreement, from time to time in our discretion, subject to the restrictions and satisfaction of the conditions in the Purchase Agreement, after the date the registration statement that includes this prospectus is declared effective and after satisfaction of other conditions in the Purchase Agreement. The actual proceeds from the Selling Stockholder may be less than this amount depending on the number of shares of our common stock sold and the price at which the shares of our common stock are sold.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The Selling Stockholder may offer, sell or distribute all or a portion of the shares of our common stock acquired under the Purchase Agreement and hereby registered publicly or through private transactions at prevailing market prices or at negotiated prices. We will bear all costs, expenses and fees in connection with the registration of the shares of our common stock, including with regard to compliance with state securities or “blue sky” laws. The Selling Stockholder will bear all commissions and discounts, if any, attributable to its sale of shares of our common stock. See “</w:t>
      </w:r>
      <w:r>
        <w:rPr>
          <w:rFonts w:ascii="Times New Roman" w:hAnsi="Times New Roman"/>
          <w:i/>
          <w:sz w:val="18"/>
          <w:u w:val="single"/>
        </w:rPr>
        <w:t>Plan of Distribution</w:t>
      </w:r>
      <w:r>
        <w:rPr>
          <w:rFonts w:ascii="Times New Roman" w:hAnsi="Times New Roman"/>
          <w:sz w:val="18"/>
        </w:rPr>
        <w:t xml:space="preserve">” for more information about how the Selling Stockholder may sell or otherwise dispose of the shares of common stock being registered pursuant to this prospectus. The Selling Stockholder is an underwriter under the Securities Act with respect to the resale of shares held by it.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You should read this prospectus and any prospectus supplement or amendment, together with additional information described under the headings “</w:t>
      </w:r>
      <w:r>
        <w:rPr>
          <w:rFonts w:ascii="Times New Roman" w:hAnsi="Times New Roman"/>
          <w:i/>
          <w:sz w:val="18"/>
          <w:u w:val="single"/>
        </w:rPr>
        <w:t>Where You Can Find More Information</w:t>
      </w:r>
      <w:r>
        <w:rPr>
          <w:rFonts w:ascii="Times New Roman" w:hAnsi="Times New Roman"/>
          <w:sz w:val="18"/>
        </w:rPr>
        <w:t xml:space="preserve">”, carefully before you invest in our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Our common stock is listed on the Nasdaq Capital Market (“Nasdaq”) under the symbol “JAGX.” On July 14, 2026, the last reported sales price of our common stock on Nasdaq was $2.17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2"/>
        </w:rPr>
        <w:t>Investing in our securities involves a high degree of risk. You should review carefully the risks and uncertainties described under the heading “</w:t>
      </w:r>
      <w:hyperlink w:anchor="tx47881_5">
        <w:r>
          <w:rPr>
            <w:rStyle w:val="InternetLink"/>
            <w:rFonts w:ascii="Times New Roman" w:hAnsi="Times New Roman"/>
            <w:b/>
            <w:i/>
            <w:sz w:val="22"/>
          </w:rPr>
          <w:t>Risk Factors</w:t>
        </w:r>
      </w:hyperlink>
      <w:r>
        <w:rPr>
          <w:rFonts w:ascii="Times New Roman" w:hAnsi="Times New Roman"/>
          <w:sz w:val="22"/>
        </w:rPr>
        <w:t xml:space="preserve">” </w:t>
      </w:r>
      <w:r>
        <w:rPr>
          <w:rFonts w:ascii="Times New Roman" w:hAnsi="Times New Roman"/>
          <w:b/>
          <w:sz w:val="22"/>
        </w:rPr>
        <w:t xml:space="preserve">beginning on page 13 of this prospectus, and under similar headings in any amendment or supplement to this prospectus or in any other documents incorporated by reference into this prospectus.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4788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2">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6">
              <w:r>
                <w:rPr>
                  <w:rStyle w:val="InternetLink"/>
                  <w:rFonts w:ascii="Times New Roman" w:hAnsi="Times New Roman"/>
                  <w:sz w:val="20"/>
                </w:rPr>
                <w:t>THE COMMITTED EQUITY FINANCING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8">
              <w:r>
                <w:rPr>
                  <w:rStyle w:val="InternetLink"/>
                  <w:rFonts w:ascii="Times New Roman" w:hAnsi="Times New Roman"/>
                  <w:sz w:val="20"/>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9">
              <w:r>
                <w:rPr>
                  <w:rStyle w:val="InternetLink"/>
                  <w:rFonts w:ascii="Times New Roman" w:hAnsi="Times New Roman"/>
                  <w:sz w:val="20"/>
                </w:rPr>
                <w:t>THE SELLING STOCKHOLDER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1">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7881_15">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tx4788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 pursuant to which the Selling Stockholder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t>
      </w:r>
      <w:r>
        <w:rPr>
          <w:rFonts w:ascii="Times New Roman" w:hAnsi="Times New Roman"/>
          <w:i/>
          <w:sz w:val="20"/>
          <w:u w:val="single"/>
        </w:rPr>
        <w:t>Where You Can Find More Information</w:t>
      </w:r>
      <w:r>
        <w:rPr>
          <w:rFonts w:ascii="Times New Roman" w:hAnsi="Times New Roman"/>
          <w:sz w:val="20"/>
        </w:rPr>
        <w:t>” and “</w:t>
      </w:r>
      <w:r>
        <w:rPr>
          <w:rFonts w:ascii="Times New Roman" w:hAnsi="Times New Roman"/>
          <w:i/>
          <w:sz w:val="20"/>
          <w:u w:val="single"/>
        </w:rPr>
        <w:t>Incorporation of Certain Information by Reference</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Information incorporated by reference into this prospectus is accurate as of the date of the document from which the information is incorporated.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when used in this report, the terms the “Company,” “Jaguar,” “we,” “us, “our” and similar terms refer to Jaguar Health, Inc.,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x47881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forward-looking statements including, but not limited to, statements regarding our liquidity, anticipated capital expenditures, and expected sales to the Selling Stockholder. </w:t>
      </w:r>
    </w:p>
    <w:p>
      <w:pPr>
        <w:pStyle w:val="TextBody"/>
        <w:bidi w:val="0"/>
        <w:spacing w:before="240" w:after="0"/>
        <w:jc w:val="left"/>
        <w:rPr>
          <w:rFonts w:ascii="Times New Roman" w:hAnsi="Times New Roman"/>
          <w:sz w:val="20"/>
        </w:rPr>
      </w:pPr>
      <w:r>
        <w:rPr>
          <w:rFonts w:ascii="Times New Roman" w:hAnsi="Times New Roman"/>
          <w:sz w:val="20"/>
        </w:rPr>
        <w:t>All statements other than statements of historical facts contained in this prospectus, including statements regarding our future financial position, liquidity, business strategy and plans and objectives of management for future operations, are forward-looking statements. The words “believe,” “may,” “estimate,” “continue,” “anticipate,” “intend,” “should,” “plan,” “could,” “target,” “potential,” “is likely,” “will,” “expect” and similar expressions, as they relate to us,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those described in “</w:t>
      </w:r>
      <w:r>
        <w:rPr>
          <w:rFonts w:ascii="Times New Roman" w:hAnsi="Times New Roman"/>
          <w:sz w:val="20"/>
          <w:u w:val="single"/>
        </w:rPr>
        <w:t>Risk Factors</w:t>
      </w:r>
      <w:r>
        <w:rPr>
          <w:rFonts w:ascii="Times New Roman" w:hAnsi="Times New Roman"/>
          <w:sz w:val="20"/>
        </w:rPr>
        <w:t xml:space="preserve">” and elsewhere in this prospectus and in our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expressly disclaim any obligation or undertaking to update or revise any forward-looking statements contained herein to reflect events or circumstances after the date on which such statements were made or to reflect the occurrence of unanticipated events,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tx47881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in this prospectus or incorporated by reference. It may not contain all of the information that you should consider before investing in our securities. You should read this entire prospectus carefully, including the “Risk Factors” section, and the financial statements and related notes included or incorporated by reference herein. This prospectus includes forward-looking statements that involve risks and uncertainties. See “Cautionary Statement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Jaguar Animal Health is a Jaguar tradename. Magdalena Biosciences, a joint venture formed by Jaguar and Filament Health Corp., is focused on developing novel prescription medicines derived from plants for weight gain prevention and mental health indications. Jaguar Animal Health is a tradename the Company uses in the animal health space. In the animal health field, the Company focuses on developing and commercializing non-prescription GI products for companion and production animals.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Napo’s crofelemer 125 mg delayed-release tablets (Mytesi) is an FDA-approved prescription drug for the symptomatic relief of noninfectious diarrhea in adults with HIV/AIDS on antiretroviral therapy. In January 2026, following Napo’s entry into a US licensing agreement with an affiliate of privately held Future Pak, LLC (“Future Pak”), Future Pak became the exclusive marketer for Mytesi as well as the tablet formulation for animal health, Canalevia-CA1, which is Jaguar’s crofelemer prescription drug for the treatment of chemotherapy-induced diarrhea in dogs. Jaguar was provided with $16.0 million of non-dilutive capital in January 2026 upon closing of the agreement with Future Pak, with an additional $2.0 million due to Jaguar upon completion of post-closing conditions. Per the terms of the agreement, Jaguar also has the opportunity to receive up to $20 million in milestone payments and other future payments. Jaguar will continue to manufacture crofelemer for Mytesi and Canalevia-CA1 for Future Pak. Mytesi and Canalevia-CA1 are both delayed-release tablet formulations of crofelemer.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placebo-controlled, double-blind global study to evaluate the safety and efficacy of crofelemer in diarrhea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As previously announced,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Napo’s Type C Meeting in May 2025 with the Division of Gastroenterology of the FDA, Napo proposed two concurrent potential approaches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developing a novel, highly concentrated lyophilized crofelemer powder for oral solution for its prioritized focus on intestinal failure (IF) for the treatment of the ultrarare pediatric disorder, microvillus 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Intestinal failure (IF) is a debilitating condition that often requires patients to receive life-sustaining fluids, electrolytes and nutrients through intravenous administration, which consists of total parenteral nutrition (TPN) with supplemental intravenous fluids, which together constitute parenteral support (PS). Many intestinal failure patients require PS up to 7 days a week, and sometimes for 20 hours or more per day. While crucial for IF patients, PS is associated with significant toxicities to patients, similar to some toxicities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chemotherapy, often causing serious health problems including infections, metabolic complications, and liver and kidney function problems. These symptoms may emerge at any time in intestinal failure patients and often become life-threatening.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 shifting therapy for reduction of PS, which would potentially reduce TPN- and MVID-related comorbidities and improve clinical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SBS-IF affects an estimated 12,000 patients in the US. SBS-IF patients without colon-in-continuity 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was valued at approximately $1.64 billion in 2024 and is projected to reach approximately $8.0 billion by 2033, according to a report by DataM Intelligence. MVID is an ultrarare pediatric disease, with an estimated prevalence of a couple of hundred patients globally. Jaguar estimates that the global market size for MVID therapies is in the range of $50 million to $100 million, based on market research with key opinion leaders (KOLs) and payers.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Investigational New Drug (“IND”) application for a new crofelemer powder for oral solution formulation for the treatment of MVID.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can benefit from Scientific Advice from the EMA for clinical trials for the orphan indication and receive market exclusivity for a period of ten years once the medicine is approved for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Groundbreaking results from pediatric IF patients with MVID and SBS-IF were presented at North American Society for Pediatric Gastroenterology, Hepatology and Nutrition (NASPGHAN 2025) in Chicago. The study showed that the liquid formulation of crofelemer powder resulted in a reduction of parenteral support (PS) of up to 37% in a pediatric MVID patient who has remained on crofelemer therapy for &gt;1 year. PS reductions of up to 15.6% were observed in two pediatric SBS-IF patients who have also remained on crofelemer oral liquid treatment for &gt;1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longer-term data from the ongoing investigator-initiated trial of crofelemer in pediatric IF patients in the United Arab Emirates will be presented at the 58th Annual Meeting of the European Society for Pediatric Gastroenterology, Hepatology &amp; Nutrition (ESPGHAN). An additional MVID infant patient is being treated with oral crofelemer, and safety and efficacy in the infant receiving crofelemer will also be presented at ESPGHAN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crofelemer is in development for symptomatic relief and treatment of moderate-to-severe diarrhea, with or without concomitant antimicrobial therapy, from bacterial, viral, and parasitic infections, including Vibrio cholerae, the bacterium that causes cholera.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Jaguar is poised to realize the opportunities for the commercialization of crofelemer powder for oral solution for our IF programs from MVID and SBS-IF. Jaguar, through Napo, holds global unencumbered rights for crofelemer.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Equity Line of Credit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the Purchase Agreement with the Selling Stockholder, which provides that, upon the terms and subject to the conditions set forth therein, the Selling Stockholder is committed to purchase up to an aggregate of $40 million of shares of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w:t>
      </w:r>
      <w:r>
        <w:rPr>
          <w:rFonts w:ascii="Times New Roman" w:hAnsi="Times New Roman"/>
          <w:sz w:val="20"/>
          <w:u w:val="single"/>
          <w:bdr w:val="single" w:sz="8" w:space="1" w:color="000000"/>
        </w:rPr>
        <w:t>Fixed Purchase</w:t>
      </w:r>
      <w:r>
        <w:rPr>
          <w:rFonts w:ascii="Times New Roman" w:hAnsi="Times New Roman"/>
          <w:sz w:val="20"/>
          <w:bdr w:val="single" w:sz="8" w:space="1" w:color="000000"/>
        </w:rPr>
        <w:t xml:space="preserve">: on the Commencement Date (as defined in the Purchase Agreement) and from time to time thereafter, subject to the satisfaction of certain conditions and on any business day selected by the Company where the closing sale price of the common stock is equal to or greater than $1.10 per share, as adjusted for any reorganization, recapitalization, stock split, reverse stock split, or other similar transactions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occur on or after the date of the Purchase Agreement (the “ELOC Floor Price”), the Company shall have the right, but not the obligation, to direct the Selling Stockholder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the Selling Stockholder’s committed obligation under any single Fixed Purchase shall not exceed $1,500,000 (provided that all shares of common stock in respect of all prior Fixed Purchases, VWAP Purchases and Additional VWAP Purchases shall have been delivered to the Selling Stockholder via Deposit/Withdrawal at Custodian (“DWAC”));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w:t>
      </w:r>
      <w:r>
        <w:rPr>
          <w:rFonts w:ascii="Times New Roman" w:hAnsi="Times New Roman"/>
          <w:sz w:val="20"/>
          <w:u w:val="single"/>
          <w:bdr w:val="single" w:sz="8" w:space="1" w:color="000000"/>
        </w:rPr>
        <w:t>VWAP Purchase</w:t>
      </w:r>
      <w:r>
        <w:rPr>
          <w:rFonts w:ascii="Times New Roman" w:hAnsi="Times New Roman"/>
          <w:sz w:val="20"/>
          <w:bdr w:val="single" w:sz="8" w:space="1" w:color="000000"/>
        </w:rPr>
        <w:t xml:space="preserve">: on the Commencement Date and from time to time thereafter, and on any business day selected by the Company where the closing sale price of the common stock is equal to or greater than the ELOC Floor Price, subject to the satisfaction of certain conditions, in addition to the Fixed Purchase, the Company shall also have the right, but not the obligation, to direct the Selling Stockholder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the Selling Stockholder’s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(iii) </w:t>
      </w:r>
      <w:r>
        <w:rPr>
          <w:rFonts w:ascii="Times New Roman" w:hAnsi="Times New Roman"/>
          <w:sz w:val="20"/>
          <w:u w:val="single"/>
          <w:bdr w:val="single" w:sz="8" w:space="1" w:color="000000"/>
        </w:rPr>
        <w:t>Additional VWAP Purchase</w:t>
      </w:r>
      <w:r>
        <w:rPr>
          <w:rFonts w:ascii="Times New Roman" w:hAnsi="Times New Roman"/>
          <w:sz w:val="20"/>
          <w:bdr w:val="single" w:sz="8" w:space="1" w:color="000000"/>
        </w:rPr>
        <w:t xml:space="preserve">: on the Commencement Date and from time to time thereafter, subject to the satisfaction of certain conditions, in addition to the Fixed Purchase and VWAP Purchase, the Company shall also have the right, but not the obligation, to direct the Selling Stockholder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the Selling Stockholder’s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the Selling Stockholder’s ownership of the Company’s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Selling Stockholder’s execution and delivery of the Purchase Agreement, the Company agreed to issue to the Selling Stockholder on the effective date of the ELOC Registration Statement (as defined hereunder) $800,000 worth of the Company’s common stock, valued at the VWAP Purchase Price as of such effective date (the “Commitment Shares”). The Commitment Shares will be included in the ELOC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Purchase Agreement, until either the stockholder approval (as defined in the Purchase Agreement) (the “Stockholder Approval for the ELOC”) is obtained or certain other conditions are met, the Company shall not sell shares of common stock to the Selling Stockholder under the Purchase Agreement to the extent that after giving effect thereto, the aggregate number of shares of common stock that would be issued pursuant to the Purchase Agreement would exceed 19.99% of the number of shares of common stock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outstanding immediately prior to the execution of the Purchase Agreement. As previously reported, the Company reconvened its 2026 annual meeting of stockholders (the “Annual Meeting”) on June 8, 2026 and obtained, among others, the Stockholder Approval for the ELOC.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earlier terminated as provided thereunder, the Purchase Agreement shall terminate automatically on the earliest to occur of (i) the expiration of the ELOC Registration Statement pursuant to Rule 415(a)(5) of the Securities Act, (ii) the date on which the Selling Stockholder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may be terminated at any time by the mutual written consent of the parties, effective as of the date of such mutual written consent unless otherwise provided in such written consent. Either the Company or the Selling Stockholder may also terminate the Purchase Agreement unilaterally under certain circumstances provided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Purchase Agreement includes representations, warranties, and covenants customary for a transaction of this type.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Purchase Agreement, the Company entered into a registration rights agreement with the Selling Stockholder (the “ELOC Registration Rights Agreement”), pursuant to which the Company is required to file a registration statement on Form S-1 (the “ELOC Registration Statement”) within 30 days after the execution date of the Purchase Agreement, to register the resale of all of (i) the shares of common stock to be sold and issued by the Company to the Selling Stockholder under the Purchase Agreement, (ii) the Commitment Shares, and (iii) any securities of the Company issued or issuable with respect to the forementioned shares or Commitment Shares. The Company shall use its commercially reasonable efforts to have the ELOC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P Preferred Stock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9, 2026, the Company entered into securities purchase agreements (each a “Preferred Stock Purchase Agreement” and collectively, the “Preferred Stock Purchase Agreements”) with certain investors named therein, including the Selling Stockholder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pursuant to the Preferred Stock Purchase Agreements, the Company entered into a registration rights agreement with the Investors (the “Preferred Registration Rights Agreement”), pursuant to which the Company is required to file a registration statement on Form S-1 (the “Preferred Registration Statement”) within 30 days after the execution date of the Preferred Registration Rights Agreement, to register the resale of (i) all of the Redemption Shares (as defined hereunder) that may, from time to time, be issued or become issuable to the Investors under the Preferred Stock Purchase Agreements and the related Transaction Documents (as defined therein) (without regard to any limitation or restriction on purchases), (ii) the shares of Common Stock issued or issuable upon exercise of the Pre-Funded Warrants (as defined in the Preferred Stock Purchase Agreements) (the “Warrant Shares”), and (iii) any and all shares of capital stock issued or issuable with respect to the Redemption Shares or Warrant Shares as a result of any stock split, stock dividend, recapitalization, exchange or similar event or otherwise, without regard to any limitation on purchases under the Preferred Stock Purchase Agreements or the Transaction Documents. The Company shall use its commercially reasonable efforts to have the Preferred Registration Statement declared effective by the SEC at the earliest practicable date.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18, 2026, the Company announced that its board of directors declared a special one-time dividend of one-tenth of one share of Series O Preferred Stock for each share of voting common stock outstanding, plus each share issuable upon exercise of certain warrants to purchase, in aggregate, 2,400,765 shares of common stock with dividend rights outstanding (the “Eligible Warrants”), at the close of business on March 2, 2026. The preferred stock dividend was paid on March 4,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preferred stock dividend, on March 2, 2026 the Company filed a Certificate of Designation of Preferences, Rights and Limitations of Series O Convertible Preferred Stock with the Secretary of State of the State of Delaware, to designate 1,557,000 shares of the preferred stock, par value $0.0001 per share, as Series O Convertible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potential issuance of a large number of shares of common stock upon the conversion of our Series O Preferred Stock may have a negative effect on the trading price of our common stock as well as a significant dilutive effect. See “</w:t>
      </w:r>
      <w:r>
        <w:rPr>
          <w:rFonts w:ascii="Times New Roman" w:hAnsi="Times New Roman"/>
          <w:i/>
          <w:sz w:val="20"/>
          <w:u w:val="single"/>
          <w:bdr w:val="single" w:sz="8" w:space="1" w:color="000000"/>
        </w:rPr>
        <w:t>Risk Factors – Risks Related to the Preferred Stock Dividend</w:t>
      </w:r>
      <w:r>
        <w:rPr>
          <w:rFonts w:ascii="Times New Roman" w:hAnsi="Times New Roman"/>
          <w:sz w:val="20"/>
          <w:bdr w:val="single" w:sz="8" w:space="1" w:color="000000"/>
        </w:rPr>
        <w:t xml:space="preserve">” in our Annual Report on Form 10-K for the year ended December 31, 2025 filed with the SEC on April 7,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Conversion of the Series O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25, 2026, the Company completed the conversion (the “Conversion”) of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3.209 shares of common stock for each share of Series O Preferred Stock. Immediately upon completion of the Conversion, there were 4,857,211 shares of common stock issued and outstanding, and the holders of the Eligible Warrants are entitled to receive, upon exercise of the Eligible Warrants, up to 839,000 shares of common stock, which consist of 68,593 Warrant Shares (as defined in the Eligible Warrants) and 770,407 Conversion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June 6, 2013. Our principal executive office is located at 200 Pine Street, Suite 400, San Francisco, CA 94104, for human health prescription drugs, and the telephone number is (415) 371 8300. We have an additional office at 200 Pine Street, Suite 600, San Francisco, CA 94104, for Jaguar Animal Health. Our website for the corporation is </w:t>
      </w:r>
      <w:r>
        <w:rPr>
          <w:rFonts w:ascii="Times New Roman" w:hAnsi="Times New Roman"/>
          <w:sz w:val="20"/>
          <w:u w:val="single"/>
          <w:bdr w:val="single" w:sz="8" w:space="1" w:color="000000"/>
        </w:rPr>
        <w:t>https://jaguar.health.com</w:t>
      </w:r>
      <w:r>
        <w:rPr>
          <w:rFonts w:ascii="Times New Roman" w:hAnsi="Times New Roman"/>
          <w:sz w:val="20"/>
          <w:bdr w:val="single" w:sz="8" w:space="1" w:color="000000"/>
        </w:rPr>
        <w:t xml:space="preserve">. The information contained on, or that can be accessed through, our website is not part of this annual report. Our voting common stock is listed on the Nasdaq Capital Market and trades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tx47881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8" w:type="dxa"/>
            <w:tcBorders/>
          </w:tcPr>
          <w:p>
            <w:pPr>
              <w:pStyle w:val="TableContents"/>
              <w:bidi w:val="0"/>
              <w:spacing w:before="0" w:after="283"/>
              <w:jc w:val="left"/>
              <w:rPr/>
            </w:pPr>
            <w:r>
              <w:rPr/>
              <w:t xml:space="preserve">40,800,000 shares of our common stock, consisting of (i) up to 40,000,000 Purchase Shares that may be issued by us to the Selling Stockholder, from time to time at our sole discretion, pursuant to the Purchase Agreement, and (ii) up to 800,000 Commitment Shares, all of which are issued and outstanding as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prior to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4,910,402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 immediately following this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45,710,402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Terms of the offering </w:t>
            </w:r>
          </w:p>
        </w:tc>
        <w:tc>
          <w:tcPr>
            <w:tcW w:w="6328" w:type="dxa"/>
            <w:tcBorders/>
          </w:tcPr>
          <w:p>
            <w:pPr>
              <w:pStyle w:val="TableContents"/>
              <w:bidi w:val="0"/>
              <w:spacing w:before="0" w:after="283"/>
              <w:jc w:val="left"/>
              <w:rPr/>
            </w:pPr>
            <w:r>
              <w:rPr/>
              <w:t xml:space="preserve">The Selling Stockholder will determine when and how it will dispose of any shares of our common stock that are registered under this prospectus for resale.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7" w:type="dxa"/>
            <w:tcBorders/>
          </w:tcPr>
          <w:p>
            <w:pPr>
              <w:pStyle w:val="TableContents"/>
              <w:bidi w:val="0"/>
              <w:spacing w:before="0" w:after="283"/>
              <w:jc w:val="left"/>
              <w:rPr/>
            </w:pPr>
            <w:r>
              <w:rPr/>
              <w:t xml:space="preserve">We will not receive any of the proceeds from the sale of shares of our common stock offered by the Selling Stockholder. Additionally, we will not receive any proceeds from the issuance or sale of any Commitment Shares. We may receive up to $40,000,000 in aggregate gross proceeds from the Selling Stockholder under the Purchase Agreement in connection with sales of our shares of our common stock to the Selling Stockholder pursuant to the Purchase Agreement after the date of this prospectus. However, the actual proceeds may be less than this amount depending on the number of shares of our common stock sold and the price at which the shares of our common stock are sold. We intend to use of the net proceeds that we receive under the Purchase Agreement for working capital and other general corporate purposes, including the redemption of shares of Series P Preferred Stock in accordance with the terms of the Certificate of Designation for the Series P Preferred Stock. However, as of the date of this prospectus, we cannot specify with certainty all of the particular uses, and the respective amounts we may allocate to those uses, for any net proceeds we receive. See “Use of Proceeds” on page 21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Stock Symbol </w:t>
            </w:r>
          </w:p>
        </w:tc>
        <w:tc>
          <w:tcPr>
            <w:tcW w:w="6328" w:type="dxa"/>
            <w:tcBorders/>
          </w:tcPr>
          <w:p>
            <w:pPr>
              <w:pStyle w:val="TableContents"/>
              <w:bidi w:val="0"/>
              <w:spacing w:before="0" w:after="283"/>
              <w:jc w:val="left"/>
              <w:rPr/>
            </w:pPr>
            <w:r>
              <w:rPr/>
              <w:t xml:space="preserve">JAGX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 Agent and Registrar </w:t>
            </w:r>
          </w:p>
        </w:tc>
        <w:tc>
          <w:tcPr>
            <w:tcW w:w="6329" w:type="dxa"/>
            <w:tcBorders/>
          </w:tcPr>
          <w:p>
            <w:pPr>
              <w:pStyle w:val="TableContents"/>
              <w:bidi w:val="0"/>
              <w:spacing w:before="0" w:after="283"/>
              <w:jc w:val="left"/>
              <w:rPr/>
            </w:pPr>
            <w:r>
              <w:rPr/>
              <w:t xml:space="preserve">Equiniti Trust Company, LLC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this offering. The summary is not intended to be complete. You should read the full text and more specific details contained elsewhere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4,910,402 shares of our voting common stock and no shares of our non-voting common stock outstanding as of July 10, 2026,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68,593 shares of common stock issuable upon exercise of warrants outstanding, with a weighted-average exercise price of $141.91;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7,484 shares of common stock issuable upon exercise of pre-funded warrants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5,293 shares of common stock issuable upon exercise of outstanding options under the 2014 Stock Incentive Plan, with a weighted-average exercise price of $205.44;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10,591 shares of common stock that remain available for grant under the 2014 Stock Incentive Plan and 469 shares of Common Stock that remain available under the 2020 Employee Inducement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4,573 shares of common stock issuable upon vesting of outstanding restricted stock unit awards (“RSUs”) under the 2014 Stock Incentive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or settlement of outstanding options 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x4788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purchasing the securities offered by this prospectus you should carefully read the risk factors incorporated by reference in this prospectus from our Annual Report on Form 10-K for the year ended December 31, 2025 filed with the SEC on April 7, 2026, our Quarterly Report on Form 10-Q for the period ending March 31, 2026 filed with the SEC on May 20, 2026, as well as the risks, uncertainties and additional information set forth in the other documents incorporated by reference in this prospectus that we file with the SEC after the date of this prospectus and which are deemed incorporated by reference in this prospectus, and the information contained in any applicable prospectus supplement. For a description of these reports and documents, and information about where you can find them, see “Incorporation of Certain Information by Reference.” The risks and uncertainties we discuss in this prospectus and in the documents incorporated by reference in this prospectus are those that we currently believe may materially affect our company. Additional risks not presently known, or currently deemed immaterial, also could materially and adversely affect our financial condition, results of operations, business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Committed Equity Financing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the Selling Stockholder shall, subject to the restrictions and satisfaction of the conditions in the Purchase Agreement, purchase from us up to $40,000,000 of shares of common stock, upon the terms and subject to the conditions and limitations set forth in the Purchase Agreement (such amount, the “Commitment Amount”). We have registered 40,000,000 shares (excluding the Commitment Shares) for future issuance under the Purchase Agreement and resale pursuant to this prospectus. The shares of our common stock that may be issued under the Purchase Agreement may be sold, subject to the restrictions and satisfaction of the conditions in the Purchase Agreement, by us to the Selling Stockholder at our discretion from time to time from the Commencement Date (as defined below) until the earlier to occur of (i) the date on which the Selling Stockholder shall have purchased the Commitment Amount, and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 right to commence any sales of common stock to the Selling Stockholder under the Purchase Agreement until the time when all of the conditions to our right to commence sales of common stock to the Selling Stockholder set forth in the Purchase Agreement have been satisfied, or the Commencement Date, including the effectiveness of the registration statement of which this prospectus forms a part. From and after the Commencement Date, we will generally have the right to control the timing and amount of any sales of our common stock to the Selling Stockholder under the Purchase Agreement. Sales of our common stock, if any, to the Selling Stockholder under the Purchase Agreement will depend upon market conditions, our capital needs, alternative financing options, and other factors to be determined by us in our sole discretion. We may ultimately decide to sell to the Selling Stockholder all, some or none of the common stock that may be available for us to sell to the Selling Stockholder pursuant to the Purchase Agreement. Accordingly, we cannot guarantee that we will be able to sell all of the Commitment Amount or how much in proceeds we may obtain under the Purchase Agreement. If we cannot sell securities under the Committed Equity Financing, we may be required to utilize more costly and time-consuming means of accessing the capital markets, which could have a material adverse effect on our liquidity and cash position.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of common stock to be paid by the Selling Stockholder for the common stock that we may elect to sell to the Selling Stockholder under the Purchase Agreement, if any, will fluctuate based on the market prices of our common stock at the time we make such election, it is not possible for us to predict, as of the date of this prospectus and prior to any such sales, the number of shares of common stock that we will sell to the Selling Stockholder under the Purchase Agreement, the purchase price per share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Selling Stockholder will pay for shares of common stock purchased from us under the Purchase Agreement, or the aggregate gross proceeds that we will receive from those purchases the Selling Stockholder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40,800,000 shares of our common stock (including the Commitment Shares) under this prospectus. As of July 10, 2026, there were 4,910,402 shares of common stock outstanding. If all of the 40,800,000 shares of our common stock offered for resale by the Selling Stockholder under this prospectus were issued and outstanding as of July 10, 2026, such shares would represent in excess of 89.3% of total number of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actual number of shares of our common stock issuable will vary depending on the then current market price of shares of our common stock sold to the Selling Stockholder in this offering and the number of shares of our common stock we ultimately elect to sell to the Selling Stockholder under the Purchase Agreement. If it becomes necessary for us to issue and sell to the Selling Stockholder under the Purchase Agreement more than the amount of purchase shares being registered for resale under this prospectus in order to receive aggregate gross proceeds equal to $40,000,000 under the Purchase Agreement, we must file with the SEC one or more additional registration statements to register under the Securities Act the resale by the Selling Stockholder of any such additional shares of our common stock we wish to sell from time to time under the Purchase Agreement, which the SEC must declare effective, in each case before we may elect to sell any additional shares of our common stock under the Purchase Agreement. Pursuant to the terms of the Purchase Agreement, until either the Company obtains the approval of stockholders pursuant to Nasdaq Listing Rule 5635(d) (“Rule 5635(d)”) (the “Stockholder Approval”) or certain other conditions are met, the Company shall not sell shares of Common Stock to the Selling Stockholder under the Purchase Agreement to the extent that after giving effect thereto, the aggregate number of shares of common stock that would be issued pursuant to the Purchase Agreement would exceed 19.99% of the number of our shares of common stock issued and outstanding immediately prior to the execution of the Purchase Agreement. As previously reported, the Company reconvened its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 is not obligated to buy any common stock under the Purchase Agreement if such shares, when aggregated with all other common stock then beneficially owned by the Selling Stockholder and its affiliates (as calculated pursuant to Section 13(d) of the Securities Exchange Act, and Rule 13d-3 promulgated thereunder), would result in the Selling Stockholder beneficially owning common stock in excess of 4.99% of the then-outstanding shares of common stock, or the Beneficial Ownership Limitation. Our inability to access a portion or the full amount available under the Purchase Agreement, in the absence of any other financing sources, could have a material adverse effect on our business or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Selling Stockholder will pay less than the then-prevailing market price for our common stock, which could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our common stock to be sold to the Selling Stockholder under the Purchase Agreement is derived from the market price of our common stock on The Nasdaq Capital Market. Shares to be sold to the Selling Stockholder pursuant to the Purchase Agreement will be purchased at a discounted price.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may effect sales to the Selling Stockholder pursuant to a VWAP Purchase Notice at a purchase price equal to 95% of the lowest of (i) the VWAP for the applicable VWAP Purchase Period during the applicable VWAP Purchase Date for such VWAP Purchase, (ii) the lowest traded price of our common stock during the five trading days immediately preceding the VWAP Purchase Date, and (iii) the Closing Sale Price of our common stock on such applicable VWAP Purchase Date for such VWAP Purchase. This pricing mechanism means that shares will always be sold at a 5% or greater discount to market price. See “The Committed Equity Financing”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result of this pricing structure, the Selling Stockholder may sell the shares they receive immediately after receipt of such shares, which could cause the price of our common stock to decrease. This immediate resale could create downward pressure on our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shares of common stock from the Selling Stockholder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have discretion (subject to the restrictions and satisfaction of the conditions in the Purchase Agreement) to vary the timing, price and number of shares of common stock we sell to the Selling Stockholder. If and when we elect to sell shares of common stock to the Selling Stockholder pursuant to the Purchase Agreement, after the Selling Stockholder has acquired such shares, the Selling Stockholder may resell all, some or none of such shares at any time or from time to time in its sole discretion and at different prices. As a result, investors who purchase shares from the Selling Stockholder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Stockholder in this offering as a result of future sales made by us to the Selling Stockholder at prices lower than the prices such investors paid for their shares in this offering. In addition, if we sell a substantial number of shares to the Selling Stockholder under the Purchase Agreement, or if investors expect that we will do so, the actual sales of shares or the mere existence of our arrangements with the Selling Stockholder may make it more difficult for us to sell equity or equity-related securities in the future at a time and at a price that we might otherwise wish to effect such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resales and/or issuances of shares of common stock, including pursuant to this prospectus, or the perception that such sales may occur, may cause the market price of our shares to drop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the Purchase Agreement, pursuant to which the Selling Stockholder shall, subject to the restrictions and satisfaction of the conditions in the Purchase Agreement, purchase from us up to an aggregate of $40,000,000 of shares of common stock, upon the terms and subject to the conditions and limitations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that may be issued under the Purchase Agreement may be sold, subject to the restrictions and satisfaction of the conditions in the Purchase Agreement, by us to the Selling Stockholder at our discretion from time to time from the date of effectiveness of the registration statement of which this prospectus forms a part until the earlier to occur of (i) the date on which the Selling Stockholder shall have purchased the Commitment Amount, or (ii) the Purchase Agreement is otherwise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shares of our common stock that we may sell to the Selling Stockholder under the Purchase Agreement will fluctuate based on the trading price of shares of our common stock. Depending on market liquidity at the time, sales of shares of our common stock may cause the trading price of shares of our common stock to decrease. We generally have the right to control the timing and amount of any future sales of shares of our common stock to the Selling Stockholder. Additional sales of shares of our common stock, if any, to the Selling Stockholder will depend upon market conditions and other factors to be determined by us. We may ultimately decide to sell to the Selling Stockholder all, some or none of the additional shares of our common stock that may be available for us to sell pursuant to the Purchase Agreement. If and when we do sell shares of our common stock to the Selling Stockholder, after the Selling Stockholder has acquired shares of our common stock, the Selling Stockholder may resell all, some, or none of such shares of our common stock at any time or from time to time in its discretion and at different prices. Therefore, sales to the Selling Stockholder by us could result in substantial dilution to the interests of other holders of shares of our common stock. In addition, if we sell a substantial number of shares of our common stock to the Selling Stockholder under the Purchase Agreement, or if investors expect that we will do so, the shares held by the Selling Stockholder will represent a significant portion of our public float and may result in substantial decreases to the price of our common stock. The actual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sales of shares of our common stock or the mere existence of our arrangement with the Selling Stockholder may also make it more difficult for us to sell equity or equity-related securities in the future at a time and at a price that we might otherwise wish to affect such sales </w:t>
      </w:r>
    </w:p>
    <w:p>
      <w:pPr>
        <w:pStyle w:val="TextBody"/>
        <w:bidi w:val="0"/>
        <w:spacing w:before="240" w:after="0"/>
        <w:jc w:val="left"/>
        <w:rPr>
          <w:rFonts w:ascii="Times New Roman" w:hAnsi="Times New Roman"/>
          <w:sz w:val="20"/>
        </w:rPr>
      </w:pPr>
      <w:r>
        <w:rPr>
          <w:rFonts w:ascii="Times New Roman" w:hAnsi="Times New Roman"/>
          <w:sz w:val="20"/>
        </w:rPr>
        <w:t>We presently have 76,077 shares of common stock issuable upon exercise of warrants outstanding (including pre-funded warrants), 5,293 shares of common stock issuable upon exercise of outstanding options under the 2014 Stock Incentive Plan, and 4,573 shares of common stock issuable upon vesting of outstanding restricted stock unit awards (“RSUs”) under the 2014 Stock Incentive Plan, respectively. Shares of our common stock issuable upon exercise or vesting of incentive awards under our equity compensation plans are, once issued, eligible for sale in the public market, subject to any lock-up agreements and, in some cases, limitations on volume and manner of sale applicable to affiliates under Rule 144. Furthermore, shares of our common stock reserved for future issuance under our equity compensation plans may become available for sale in the future.</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proceeds from sales of our common stock made pursuant to the Purchase Agreement in ways with which you may not agree or in ways which may not yield a significant return. </w:t>
      </w:r>
    </w:p>
    <w:p>
      <w:pPr>
        <w:pStyle w:val="TextBody"/>
        <w:bidi w:val="0"/>
        <w:spacing w:before="240" w:after="0"/>
        <w:jc w:val="left"/>
        <w:rPr>
          <w:rFonts w:ascii="Times New Roman" w:hAnsi="Times New Roman"/>
          <w:sz w:val="20"/>
        </w:rPr>
      </w:pPr>
      <w:r>
        <w:rPr>
          <w:rFonts w:ascii="Times New Roman" w:hAnsi="Times New Roman"/>
          <w:sz w:val="20"/>
        </w:rPr>
        <w:t xml:space="preserve">We will have broad discretion over the use of proceeds from sales of our common stock made pursuant to the Purchase Agreement, including for any of the purposes described in the section entitled “Use of Proceeds,” and you will not have the opportunity, as part of your investment decision, to assess whether the proceeds are being used appropriately. Because of the number and variability of factors that will determine our use of the net proceeds, their ultimate use may vary substantially from their currently intended use. The failure by us to apply these funds effectively could harm our business, and the net proceeds may be used for corporate purposes that do not increase our operating results or enhance the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do not raise debt or equity capital, we may not be able to pay all of our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extent we rely on the Selling Stockholder as a source of funding will depend on a number of factors including, the prevailing market price of our common stock and volume of trading and the extent to which we are able to secure working capital from other sources. If obtaining sufficient funding from the Selling Stockholder does not occur for any reason including the Selling Stockholder suffering liquidity issues or failure of the Company to keep the registration statement current, we will need to secure other sources of funding in order to pay off our contractual obligations. Should the financing we require be unavailable or prohibitively expensive when we require it, such circumstances would likely have a material adverse effect on our business, operating results,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x47881_6"/>
      <w:bookmarkEnd w:id="8"/>
      <w:r>
        <w:rPr>
          <w:rFonts w:ascii="Times New Roman" w:hAnsi="Times New Roman"/>
          <w:b/>
          <w:sz w:val="20"/>
        </w:rPr>
        <w:t xml:space="preserve">THE COMMITTED EQUITY FINANCING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a common stock purchase agreement (the “Purchase Agreement”) with an accredited investor, C/M Capital Master Fund, LP (“C/M Capital”), which provides that, upon the terms and subject to the conditions set forth therein, C/M Capital is committed to purchase up to an aggregate of $40 million of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Fixed Purchase</w:t>
      </w:r>
      <w:r>
        <w:rPr>
          <w:rFonts w:ascii="Times New Roman" w:hAnsi="Times New Roman"/>
          <w:sz w:val="20"/>
        </w:rPr>
        <w:t xml:space="preserve">: on the Commencement Date (as defined in the Purchase Agreement) and from time to time thereafter, subject to the satisfaction of certain conditions and on any business day selected by us where the closing sale price of the common stock is equal to or greater than $1.10 per share, as adjusted for any reorganization, recapitalization, stock split, reverse stock split, or other similar transactions that occur on or after the date of the Purchase Agreement (the “Floor Price”), we shall have the right, but not the obligation, to direct C/M Capital to purchase a Fixed Purchase Share Amount (as defined in the Purchase Agreement), not to exceed the applicable Fixed Purchase Maximum Amount (as defined in the Purchase Agreement), at the applicable Fixed Purchase Price (as defined in the Purchase Agreement) therefor on the applicable Fixed Purchase Date in accordance with the Purchase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VWAP Purchase</w:t>
      </w:r>
      <w:r>
        <w:rPr>
          <w:rFonts w:ascii="Times New Roman" w:hAnsi="Times New Roman"/>
          <w:sz w:val="20"/>
        </w:rPr>
        <w:t xml:space="preserve">: on the Commencement Date and from time to time thereafter, and on any business day selected by us where the closing sale price of the common stock is equal to or greater than the Floor Price, subject to the satisfaction of certain conditions, in addition to the Fixed Purchase, we shall also have the right, but not the obligation, to direct C/M Capital to purchase the applicable VWAP Purchase Share Amount (as defined in the Purchase Agreement), not to exceed the applicable VWAP Purchase Maximum Amount (as defined in the Purchase Agreement), at the applicable VWAP Purchase Price (as defined in the Purchase Agreement) therefor on the applicable VWAP Purchase Date in accordance with the Purchase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rPr>
      </w:pPr>
      <w:r>
        <w:rPr>
          <w:rFonts w:ascii="Times New Roman" w:hAnsi="Times New Roman"/>
          <w:sz w:val="20"/>
        </w:rPr>
        <w:t xml:space="preserve">(iii) Additional VWAP Purchase: on the Commencement Date and from time to time thereafter, subject to the satisfaction of certain conditions, in addition to the Fixed Purchase and VWAP Purchase, we shall also have the right, but not the obligation, to direct C/M Capital to purchase the applicable Additional VWAP Purchase Share Amount (as defined in the Purchase Agreement), not to exceed the applicable Additional VWAP Purchase Maximum Amount (as defined in the Purchase Agreement), at the applicable Additional VWAP Purchase Price (as defined in the Purchase Agreement) therefor on the applicable Additional VWAP Purchase Date in accordance with the Purchase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purchase terms are subject to certain conditions and limitations, including daily volume and dollar amount limitations with respect to each type of purchase described above within a given day, and a 4.99% beneficial ownership limitation with respect to C/M Capital’s ownership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consideration for C/M Capital’s execution and delivery of the Purchase Agreement, we agreed to issue to C/M Capital on the effective date of the Registration Statement (as defined hereunder) $800,000 worth of our common stock, valued at the VWAP Purchase Price as of such effective date (the “Commitment Shares”). The Commitment Shares will be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Purchase Agreement, until either the stockholder approval (as defined in the Purchase Agreement) (the “Stockholder Approval”) is obtained or certain other conditions are met, we shall not sell shares of common stock to C/M Capital under the Purchase Agreement to the extent that after giving effect thereto, the aggregate number of shares of common stock that would be issued pursuant to the Purchase Agreement would exceed 19.99% of the number of shares of common stock issued and outstanding immediately prior to the execution of the Purchase Agreement. As previously reported, we reconvened the 2026 annual meeting of stockholders (the “Annual Meeting”) on June 8, 2026 and obtained, among others, the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as provided thereunder, the Purchase Agreement shall terminate automatically on the earliest to occur of (i) the expiration of the Registration Statement pursuant to Rule 415(a)(5) of the Securities Act, (ii) the date on which C/M Capital shall have purchased the maximum amount pursuant to the Purchase Agreement, (iii) the date on which the common stock shall have failed to be listed or quoted on the Trading Market or any Eligible Market (both terms as defined in the Purchase Agreement), (iv) the 30th trading day following the date on which, pursuant to or within the meaning of the applicable bankruptcy law, the Company commences a voluntary case or any person commences a proceeding against the Company, in each case that is not discharged or dismissed prior to such 30th trading day, and (v) the date on which, pursuant to or within the meaning of any applicable bankruptcy law, a custodian is appointed for the Company or for all or substantially all of its property, or the Company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may be terminated at any time by the mutual written consent of the parties, effective as of the date of such mutual written consent unless otherwise provided in such written consent. Either the Company or C/M Capital may also terminate the Purchase Agreement unilaterally under certain circumstances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includes representations, warranties, and covenants customary for a transaction of this type.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pursuant to the Purchase Agreement, we entered into a registration rights agreement with C/M Capital (the “Registration Rights Agreement”), pursuant to which we are required to file a registration statement on Form S-1 (the “Registration Statement”) within 30 days after the execution date of the Purchase Agreement, to register the resale of all of (i) the shares of common stock to be sold and issued by us to C/M Capital under the Purchase Agreement, (ii) the Commitment Shares, and (iii) any securities of the Company issued or issuable with respect to the forementioned shares or Commitment Shares. We shall use commercially reasonable efforts to have the Registration Statement declared effective by the U.S. Securities and Exchange Commission (the “SEC”) at the earliest practicable date. </w:t>
      </w:r>
    </w:p>
    <w:p>
      <w:pPr>
        <w:pStyle w:val="TextBody"/>
        <w:bidi w:val="0"/>
        <w:spacing w:before="240" w:after="0"/>
        <w:jc w:val="left"/>
        <w:rPr>
          <w:rFonts w:ascii="Times New Roman" w:hAnsi="Times New Roman"/>
          <w:sz w:val="20"/>
        </w:rPr>
      </w:pPr>
      <w:r>
        <w:rPr>
          <w:rFonts w:ascii="Times New Roman" w:hAnsi="Times New Roman"/>
          <w:sz w:val="20"/>
        </w:rPr>
        <w:t xml:space="preserve">We also agreed to other customary obligations regarding registration, including indemnification and maintenance of the effectiveness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There are substantial risks to our stockholders as a result of the sale and issuance of common stock to the Selling Stockholder under the Purchase Agreement, including but not limited to the following: substantial dilution, significant declines in our stock price and our inability to draw sufficient funds when needed. See “Risk Factors.” The sale of our common stock to the Selling Stockholder under the Purchase Agreement will not affect the rights or privileges of our other stockholders, except that the economic and voting interests of our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will be diluted as a result of any such sale. Although the number of shares of common stock that our other stockholders own will not decrease, the shares owned by our other stockholders will represent a smaller percentage of our total outstanding shares after any such sale to the Selling Stockholder under the Purchase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Precedent to Commencement </w:t>
      </w:r>
    </w:p>
    <w:p>
      <w:pPr>
        <w:pStyle w:val="TextBody"/>
        <w:bidi w:val="0"/>
        <w:spacing w:before="120" w:after="0"/>
        <w:jc w:val="left"/>
        <w:rPr>
          <w:rFonts w:ascii="Times New Roman" w:hAnsi="Times New Roman"/>
          <w:sz w:val="20"/>
        </w:rPr>
      </w:pPr>
      <w:r>
        <w:rPr>
          <w:rFonts w:ascii="Times New Roman" w:hAnsi="Times New Roman"/>
          <w:sz w:val="20"/>
        </w:rPr>
        <w:t xml:space="preserve">Our right to commence delivering Fixed Purchase Notices, VWAP Purchase Notices and Additional VWAP Purchase Notices (collectively, “Purchase Notices”) under the Purchase Agreement and the Selling Stockholder’s obligation to accept such Purchase Notices, are subject to the initial satisfaction, at the Commencement Date, of the conditions precedent thereto set forth in the Purchase Agreement, which conditions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our representations and warranties included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in final form, and all reports, schedules, registrations, forms, statements, information and other documents required to have been filed by us with the SEC pursuant to the reporting requirements of the Exchange Act having been so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in the common stock not having been suspended by the SEC, Nasdaq or FINRA;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condition, occurrence, state of facts or event constituting a Material Adverse Effect (as defined in the Purchase Agreement) shall have occurred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customary compliance with laws and bankruptcy-related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Selling Stockholder of a customary legal opinion, as required under the Purchase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Effects of Sales of our Common Stock under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The common stock being registered for resale in this offering may be issued and sold by us to the Selling Stockholder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Selling Stockholder under the Purchase Agreement will be determined by us in our sole discretion, subject to the satisfaction of certain conditions in the Purchase Agreement, and will depend upon market conditions and other factors. We may ultimately decide to sell to the Selling Stockholder all, some or none of the common stock that may be available for us to sell to the Selling Stockholder pursuant to the Purchase Agreement. If we elect to sell common stock to the Selling Stockholder pursuant to the Purchase Agreement, after the Selling Stockholder has acquired such shares, the Selling Stockholder may resell all, some or none of such common stock at any time or from time to time in its discretion and at different prices. As a result, investors who purchase common stock from the Selling Stockholder in this offering at different times will likely pay different prices for those shares of common stock, and so may experience different levels of dilution and in some cases substantial dilution and different outcomes in their investment results. See “</w:t>
      </w:r>
      <w:r>
        <w:rPr>
          <w:rFonts w:ascii="Times New Roman" w:hAnsi="Times New Roman"/>
          <w:i/>
          <w:sz w:val="20"/>
          <w:u w:val="single"/>
        </w:rPr>
        <w:t>Risk Factors-Risks Related to the Committed Equity Financings-Investors who buy shares of common stock from the Selling Stockholder at different times will likely pay different prices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experience a decline in the value of the common stock they purchase from the Selling Stockholder in this offering as a result of future sales made by us to the Selling Stockholder at prices lower than the prices such investors paid for their shares in this offering. In addition, if we sell a substantial number of shares of common stock to the Selling Stockholder under the Purchase Agreement, or if investors expect that we will do so, the actual sales of common stock or the mere existence of our arrangement with the Selling Stockholder may make it more difficult for us to sell equity or equity-related securities in the future at a time and at a price that we might otherwise wish to effect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Because the purchase price per share to be paid by the Selling Stockholder for the common stock that we may elect to sell to the Selling Stockholder under the Purchase Agreement, if any, will fluctuate based on the market prices of our common stock at the time we make such election, as of the date of this prospectus, it is not possible for us to predict the number of shares of common stock that we will sell to the Selling Stockholder under the Purchase Agreement, the actual purchase price per share to be paid by the Selling Stockholder for those shares of common stock, or the actual gross proceeds to be raised by us from those sales, if any.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ultimately offered for sale by the Selling Stockholder for resale under this prospectus is dependent upon the number of shares of common stock, if any, we ultimately sell to the Selling Stockholder under the Purchase Agreement. Further, if and when we elect to sell shares of common stock to the Selling Stockholder pursuant to the Purchase Agreement, after the Selling Stockholder has acquired such shares, the Selling Stockholder may resell all, some, or none of such shares of common stock at any time or from time to time in its discretion and at different prices.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at varying purchase prices assuming we sell to the Selling Stockholder under the Purchase Agreement the lesser of (i) the maximum number of Purchase Shares offered by this prospectus and (ii) the maximum number of Purchase Shares that we may sell to the Selling Stockholder that results in the sale of shares of common stock with an aggregate purchase price of $40 million: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25"/>
        <w:gridCol w:w="278"/>
        <w:gridCol w:w="60"/>
        <w:gridCol w:w="1114"/>
        <w:gridCol w:w="60"/>
        <w:gridCol w:w="278"/>
        <w:gridCol w:w="254"/>
        <w:gridCol w:w="2408"/>
        <w:gridCol w:w="275"/>
        <w:gridCol w:w="208"/>
        <w:gridCol w:w="149"/>
        <w:gridCol w:w="1199"/>
        <w:gridCol w:w="64"/>
      </w:tblGrid>
      <w:tr>
        <w:trPr/>
        <w:tc>
          <w:tcPr>
            <w:tcW w:w="222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Assumed Trading Price of</w:t>
              <w:br/>
              <w:t>Common Stock</w:t>
            </w:r>
          </w:p>
        </w:tc>
        <w:tc>
          <w:tcPr>
            <w:tcW w:w="278"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Sold</w:t>
            </w:r>
            <w:r>
              <w:rPr/>
              <w:br/>
            </w:r>
            <w:r>
              <w:rPr>
                <w:b/>
              </w:rPr>
              <w:t>Under the</w:t>
            </w:r>
            <w:r>
              <w:rPr/>
              <w:br/>
            </w:r>
            <w:r>
              <w:rPr>
                <w:b/>
              </w:rPr>
              <w:t>ELOC(1)</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662"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br/>
              <w:t>Outstanding</w:t>
            </w:r>
            <w:r>
              <w:rPr/>
              <w:br/>
            </w:r>
            <w:r>
              <w:rPr>
                <w:b/>
              </w:rPr>
              <w:t>shares of</w:t>
              <w:br/>
              <w:t>Common</w:t>
            </w:r>
            <w:r>
              <w:rPr/>
              <w:br/>
            </w:r>
            <w:r>
              <w:rPr>
                <w:b/>
              </w:rPr>
              <w:t>Stock</w:t>
            </w:r>
            <w:r>
              <w:rPr/>
              <w:br/>
            </w:r>
            <w:r>
              <w:rPr>
                <w:b/>
              </w:rPr>
              <w:t>After Giving</w:t>
              <w:br/>
              <w:t>Effect to</w:t>
              <w:br/>
              <w:t>Issuances to</w:t>
            </w:r>
            <w:r>
              <w:rPr/>
              <w:br/>
            </w:r>
            <w:r>
              <w:rPr>
                <w:b/>
              </w:rPr>
              <w:t>the Selling Stockholder (2)</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pPr>
            <w:r>
              <w:rPr>
                <w:b/>
              </w:rPr>
              <w:t>Purchase</w:t>
            </w:r>
            <w:r>
              <w:rPr/>
              <w:br/>
            </w:r>
            <w:r>
              <w:rPr>
                <w:b/>
              </w:rPr>
              <w:t>Price</w:t>
            </w:r>
            <w:r>
              <w:rPr/>
              <w:br/>
            </w:r>
            <w:r>
              <w:rPr>
                <w:b/>
              </w:rPr>
              <w:t>for Common</w:t>
            </w:r>
            <w:r>
              <w:rPr/>
              <w:br/>
            </w:r>
            <w:r>
              <w:rPr>
                <w:b/>
              </w:rPr>
              <w:t>Stock Sold</w:t>
            </w:r>
            <w:r>
              <w:rPr/>
              <w:br/>
            </w:r>
            <w:r>
              <w:rPr>
                <w:b/>
              </w:rPr>
              <w:t>Under the</w:t>
            </w:r>
            <w:r>
              <w:rPr/>
              <w:br/>
            </w:r>
            <w:r>
              <w:rPr>
                <w:b/>
              </w:rPr>
              <w:t>ELOC(3)</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$2.31(4)</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17,316,017</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77.91</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r>
        <w:trPr/>
        <w:tc>
          <w:tcPr>
            <w:tcW w:w="2225" w:type="dxa"/>
            <w:tcBorders/>
          </w:tcPr>
          <w:p>
            <w:pPr>
              <w:pStyle w:val="TableContents"/>
              <w:bidi w:val="0"/>
              <w:spacing w:before="0" w:after="0"/>
              <w:jc w:val="left"/>
              <w:rPr>
                <w:rFonts w:ascii="Times New Roman" w:hAnsi="Times New Roman"/>
                <w:sz w:val="20"/>
              </w:rPr>
            </w:pPr>
            <w:r>
              <w:rPr>
                <w:rFonts w:ascii="Times New Roman" w:hAnsi="Times New Roman"/>
                <w:sz w:val="20"/>
              </w:rPr>
              <w:t>$1.00</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408" w:type="dxa"/>
            <w:tcBorders/>
            <w:vAlign w:val="bottom"/>
          </w:tcPr>
          <w:p>
            <w:pPr>
              <w:pStyle w:val="TableContents"/>
              <w:bidi w:val="0"/>
              <w:spacing w:before="0" w:after="283"/>
              <w:jc w:val="right"/>
              <w:rPr/>
            </w:pPr>
            <w:r>
              <w:rPr/>
              <w:t>89.07</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40,000,000</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20,000,000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80.29</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r>
        <w:trPr/>
        <w:tc>
          <w:tcPr>
            <w:tcW w:w="2225" w:type="dxa"/>
            <w:tcBorders/>
          </w:tcPr>
          <w:p>
            <w:pPr>
              <w:pStyle w:val="TableContents"/>
              <w:bidi w:val="0"/>
              <w:spacing w:before="0" w:after="0"/>
              <w:jc w:val="left"/>
              <w:rPr>
                <w:rFonts w:ascii="Times New Roman" w:hAnsi="Times New Roman"/>
                <w:sz w:val="20"/>
              </w:rPr>
            </w:pPr>
            <w:r>
              <w:rPr>
                <w:rFonts w:ascii="Times New Roman" w:hAnsi="Times New Roman"/>
                <w:sz w:val="20"/>
              </w:rPr>
              <w:t>$4.00</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408" w:type="dxa"/>
            <w:tcBorders/>
            <w:vAlign w:val="bottom"/>
          </w:tcPr>
          <w:p>
            <w:pPr>
              <w:pStyle w:val="TableContents"/>
              <w:bidi w:val="0"/>
              <w:spacing w:before="0" w:after="283"/>
              <w:jc w:val="right"/>
              <w:rPr/>
            </w:pPr>
            <w:r>
              <w:rPr/>
              <w:t>67.07</w:t>
            </w:r>
          </w:p>
        </w:tc>
        <w:tc>
          <w:tcPr>
            <w:tcW w:w="27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40,000,000</w:t>
            </w:r>
          </w:p>
        </w:tc>
        <w:tc>
          <w:tcPr>
            <w:tcW w:w="64" w:type="dxa"/>
            <w:tcBorders/>
            <w:vAlign w:val="bottom"/>
          </w:tcPr>
          <w:p>
            <w:pPr>
              <w:pStyle w:val="TableContents"/>
              <w:bidi w:val="0"/>
              <w:spacing w:before="0" w:after="283"/>
              <w:jc w:val="left"/>
              <w:rPr/>
            </w:pPr>
            <w:r>
              <w:rPr/>
              <w:t> </w:t>
            </w:r>
          </w:p>
        </w:tc>
      </w:tr>
      <w:tr>
        <w:trPr/>
        <w:tc>
          <w:tcPr>
            <w:tcW w:w="2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2408" w:type="dxa"/>
            <w:tcBorders/>
            <w:shd w:fill="CCEEFF" w:val="clear"/>
            <w:vAlign w:val="bottom"/>
          </w:tcPr>
          <w:p>
            <w:pPr>
              <w:pStyle w:val="TableContents"/>
              <w:bidi w:val="0"/>
              <w:spacing w:before="0" w:after="283"/>
              <w:jc w:val="right"/>
              <w:rPr/>
            </w:pPr>
            <w:r>
              <w:rPr/>
              <w:t>61.97</w:t>
            </w:r>
          </w:p>
        </w:tc>
        <w:tc>
          <w:tcPr>
            <w:tcW w:w="27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Purchase Shares offered by this prospectus may not cover all common stock we ultimately may sell to the Selling Stockholder under the Purchase Agreement, depending on the purchase price per share of such sales. We have included in this column only those Purchase Shares being offered for resale by the Selling Stockholder under this prospectus, without regard to the beneficial ownership limitation. The assumed average purchase prices are solely for illustrative purposes and are not intended to be estimates or predictions of the future performance of our shares of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used to calculate the percentages in this column is based on 4,910,402 shares of common stock outstanding as of July 10, 2026, adjusted to include the shares of common stock issued and sold to the Selling Stockholder under the Purchase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prices represent the illustrative aggregate purchase price to be received by us from the sale of all of the shares of Common Stock issued and sold to the Selling Stockholder under the Purchase Agreement as set forth in the second column, multiplied by the VWAP Purchase Price, assuming for illustrative purposes that the VWAP Purchase Price is equal to 100% of the assumed trading price of shares of common stock listed in the first column.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closing price of our Common Stock on Nasdaq on July 10,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x47881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our common stock offered by the Selling Stockholder. In addition, we will not receive any proceeds from the issuance or sale of the Commitment Shares. We may receive up to $40,000,000 in aggregate gross proceeds from sales of shares of our common stock to the Selling Stockholder pursuant to the Purchase Agreement after the date of this prospectus. However, the actual proceeds may be less than this amount depending on the number of shares of our common stock sold and the price at which the shares of our common stock are sold.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proceeds for working capital and other general corporate purposes, including the redemption of shares of Series P Preferred Stock in accordance with the terms of the Certificate of Designation for the Series P Preferred Stock. Our expected use of the net proceeds from this offering represents our intentions based upon our current plans and business conditions. As of the date of this prospectus, we cannot predict with certainty all of the particular uses for the net proceeds from this offering or the specific amounts to be spent on the uses described above. As a result, our management will retain broad discretion over the allocation of the net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x47881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The Company’s dividend policy is determined by its board of directors and will depend upon a number of factors, including the Company’s financial condition and performance, its cash needs and expansion plans, income tax consequences, and the restrictions that applicable laws and any credit or other contractual arrangements may then impose. The Company has not paid any cash dividends on its common stock to date and at the current time the Company does not anticipate paying a cash dividend on its common stock in the foreseeable future. Rather, the Company anticipates that it will retain earnings, if any, for use in the development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x47881_9"/>
      <w:bookmarkEnd w:id="11"/>
      <w:r>
        <w:rPr>
          <w:rFonts w:ascii="Times New Roman" w:hAnsi="Times New Roman"/>
          <w:b/>
          <w:sz w:val="20"/>
        </w:rPr>
        <w:t xml:space="preserve">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from time to time by the Selling Stockholder of any or all shares of our common stock that have been or may be issued by us to the Selling Stockholder under the Purchase Agreement. Such shares of our common stock include (i) up to 40,000,000 Purchase Shares that we may elect, in our sole discretion, to issue and sell to the Selling Stockholder, from time to time from and after the Commencement Date under the Purchase Agreement; and (ii) up to 800,000 Commitment Shares issued to the Selling Stockholder as consideration for the Selling Stockholder’s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 includes the Selling Stockholder listed in the table below, and its permitted pledgees, donees, transferees, assignees, successors, designees, successors-in-interest and others who later come to hold any of the Selling Stockholder’s interest in the shares of common stock in accordance with the terms of the applicable agreements governing their respective registration rights, other than through a public sale. This prospectus also covers any additional securities that may become issuable by reason of stock splits, stock dividends or other similar transactions. </w:t>
      </w:r>
    </w:p>
    <w:p>
      <w:pPr>
        <w:pStyle w:val="TextBody"/>
        <w:bidi w:val="0"/>
        <w:spacing w:before="240" w:after="0"/>
        <w:jc w:val="left"/>
        <w:rPr>
          <w:rFonts w:ascii="Times New Roman" w:hAnsi="Times New Roman"/>
          <w:sz w:val="20"/>
        </w:rPr>
      </w:pPr>
      <w:r>
        <w:rPr>
          <w:rFonts w:ascii="Times New Roman" w:hAnsi="Times New Roman"/>
          <w:sz w:val="20"/>
        </w:rPr>
        <w:t>For additional information regarding the issuance of common stock covered by this prospectus, see the section entitled “</w:t>
      </w:r>
      <w:r>
        <w:rPr>
          <w:rFonts w:ascii="Times New Roman" w:hAnsi="Times New Roman"/>
          <w:i/>
          <w:sz w:val="20"/>
          <w:u w:val="single"/>
        </w:rPr>
        <w:t>Committed Equity Financing</w:t>
      </w:r>
      <w:r>
        <w:rPr>
          <w:rFonts w:ascii="Times New Roman" w:hAnsi="Times New Roman"/>
          <w:sz w:val="20"/>
        </w:rPr>
        <w:t xml:space="preserve">” above. We are registering the shares of common stock pursuant to the provisions of the Purchase Agreement and the Registration Rights Agreement in order to permit the Selling Stockholder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also entered into securities purchase agreements (each a “Preferred Stock Purchase Agreement” and collectively, the “Preferred Stock Purchase Agreements”) with the Selling Stockholder and an investor named therein that is affiliated with the Selling Stockholder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$2.0 million (the “Preferred Stock Financing”). The Preferred Stock Financing closed June 9, 2026.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transactions contemplated by the Purchase Agreement and the Registration Rights Agreement and the transactions as disclosed above, the Selling Stockholder has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information regarding the Selling Stockholder and the shares of common stock that it may offer from time to time under this prospectus. This table is prepared based on information supplied to us by the Selling Stockholder, and reflects holdings as of July 10, 2026. The number of shares in the column “Maximum Number of Shares of Common Stock to be Offered Pursuant to this Prospectus” represents all of the shares of common stock that the Selling Stockholder may offer under this prospectus. The Selling Stockholder may sell some, all or none of its shares in this offering. We do not know how long the Selling Stockholder will hold the shares before selling them, and we currently have no agreements, arrangements or understandings with the Selling Stockholder regarding the sale of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Rule 13d-3(d) promulgated by the SEC under the Exchange Act, and includes shares of common stock with respect to which the Selling Stockholder has voting and investment power. The percentage of common stock beneficially owned by the Selling Stockholder prior to the offering shown in the table below is based on an aggregate of 4,910,402 shares of our common stock outstanding on July 10, 2026. Because the purchase price of the common stock issuable under the Purchase Agreement is determined on each Fixed Purchase Date, with respect to a Fixed Purchase and on the applicable VWAP Purchase Date (or the applicable Additional VWAP Purchase Date), with respect to a VWAP Purchase (or Additional VWAP Purchase), the number of shares that may actually be sold by us to the Selling Stockholder under the Purchase Agreement may be fewer than the number of shares being offered by this prospectus. The fourth column assumes the sale of all of the shares offered by the Selling Stockholder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amend or supplement this prospectus from time to time in the future to update or change the Selling Stockholder list and the securities that may be resold. </w:t>
      </w:r>
    </w:p>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u w:val="single"/>
        </w:rPr>
        <w:t>Plan of Distribution</w:t>
      </w:r>
      <w:r>
        <w:rPr>
          <w:rFonts w:ascii="Times New Roman" w:hAnsi="Times New Roman"/>
          <w:sz w:val="20"/>
        </w:rPr>
        <w:t xml:space="preserve">” for further information regarding the Selling Stockholder’s method of distributing these securities. </w:t>
      </w:r>
    </w:p>
    <w:p>
      <w:pPr>
        <w:pStyle w:val="TextBody"/>
        <w:bidi w:val="0"/>
        <w:spacing w:before="0" w:after="0"/>
        <w:jc w:val="left"/>
        <w:rPr/>
      </w:pPr>
      <w:r>
        <w:rPr/>
        <w:t> </w:t>
      </w:r>
    </w:p>
    <w:tbl>
      <w:tblPr>
        <w:tblW w:w="11082" w:type="dxa"/>
        <w:jc w:val="center"/>
        <w:tblInd w:w="0" w:type="dxa"/>
        <w:tblLayout w:type="fixed"/>
        <w:tblCellMar>
          <w:top w:w="0" w:type="dxa"/>
          <w:left w:w="0" w:type="dxa"/>
          <w:bottom w:w="0" w:type="dxa"/>
          <w:right w:w="0" w:type="dxa"/>
        </w:tblCellMar>
      </w:tblPr>
      <w:tblGrid>
        <w:gridCol w:w="2075"/>
        <w:gridCol w:w="120"/>
        <w:gridCol w:w="316"/>
        <w:gridCol w:w="739"/>
        <w:gridCol w:w="247"/>
        <w:gridCol w:w="494"/>
        <w:gridCol w:w="247"/>
        <w:gridCol w:w="579"/>
        <w:gridCol w:w="60"/>
        <w:gridCol w:w="120"/>
        <w:gridCol w:w="134"/>
        <w:gridCol w:w="2466"/>
        <w:gridCol w:w="60"/>
        <w:gridCol w:w="120"/>
        <w:gridCol w:w="335"/>
        <w:gridCol w:w="783"/>
        <w:gridCol w:w="335"/>
        <w:gridCol w:w="671"/>
        <w:gridCol w:w="335"/>
        <w:gridCol w:w="786"/>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26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Common Stock Owned</w:t>
              <w:br/>
              <w:t>Prior to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w:t>
              <w:br/>
              <w:t>Shares of Common Stock</w:t>
              <w:br/>
              <w:t>to be Offered Pursuant</w:t>
              <w:br/>
              <w:t>to this Prospectus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5"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of Common Stock Owned After</w:t>
              <w:br/>
              <w:t>Offering</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pPr>
            <w:r>
              <w:rPr/>
              <w:t>Number (1)</w:t>
            </w:r>
          </w:p>
        </w:tc>
        <w:tc>
          <w:tcPr>
            <w:tcW w:w="247"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center"/>
              <w:rPr/>
            </w:pPr>
            <w:r>
              <w:rPr/>
              <w:t>Number</w:t>
            </w:r>
          </w:p>
        </w:tc>
        <w:tc>
          <w:tcPr>
            <w:tcW w:w="335"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center"/>
              <w:rPr/>
            </w:pPr>
            <w:r>
              <w:rPr/>
              <w:t>Percent</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C/M Capital Master Fund, LP (2)</w:t>
            </w:r>
          </w:p>
        </w:tc>
        <w:tc>
          <w:tcPr>
            <w:tcW w:w="12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0</w:t>
            </w:r>
          </w:p>
        </w:tc>
        <w:tc>
          <w:tcPr>
            <w:tcW w:w="247"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466" w:type="dxa"/>
            <w:tcBorders/>
            <w:shd w:fill="CCEEFF" w:val="clear"/>
            <w:vAlign w:val="bottom"/>
          </w:tcPr>
          <w:p>
            <w:pPr>
              <w:pStyle w:val="TableContents"/>
              <w:bidi w:val="0"/>
              <w:spacing w:before="0" w:after="283"/>
              <w:jc w:val="right"/>
              <w:rPr/>
            </w:pPr>
            <w:r>
              <w:rPr/>
              <w:t>40,800,000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0</w:t>
            </w:r>
          </w:p>
        </w:tc>
        <w:tc>
          <w:tcPr>
            <w:tcW w:w="335"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13d-3(d) under the Exchange Act, we have excluded from the number of shares beneficially owned prior to the offering all of the shares that the Selling Stockholder may be required to purchase under the Purchase Agreement, because the issuance of such shares is solely at our discretion and is subject to conditions contained in the Purchase Agreement, the satisfaction of which are entirely outside of the Selling Stockholder’s control, including the registration statement that includes this prospectus becoming and remaining effective. Furthermore, the Fixed Purchase, VWAP Purchase or Additional VWAP Purchase, as applicable, of common stock is subject to certain agreed upon maximum amount limitations set forth in the Purchase Agreement. Also, the Purchase Agreement prohibits us from issuing and selling any of our common stock to the Selling Stockholder to the extent such shares, when aggregated with all other common stock then beneficially owned by the Selling Stockholder, would cause the Selling Stockholder beneficial ownership of our common stock to exceed the Beneficial Ownership Limitation (as defined in the Purchase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C/M Capital Master Fund, LP (“C/M Capital”) is 1111 Brickell Avenue, Suite 2920, Miami, Florida 33131. As of the date of the Purchase Agreement, C/M Capital did not beneficially own any shares of our common stock. Thomas Walsh and Jonathan Juchno are the Managing Partners of C/M Capital, and therefore may be deemed to have shared voting and investment power over securities owned directly and indirectly by C/M Capital. C/M Capital is not a registered broker-dealer or an affiliate of a registered broker-dealer. The foregoing should not be construed in and of itself as an admission by Mr. Walsh and Mr. Juchno as to beneficial ownership of the securities beneficially owned directly or indirectly by C/M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x47881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by this prospectus are being offered by the Selling Stockholder.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at the market” into an existing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be deemed to be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informed us that it intends to use one or more registered broker-dealers to effectuate all sales, if any, of our common stock that it has acquired and may in the future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Selling Stockholder has informed us that each such broker-dealer will receive commissions from the Selling Stockholder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our common stock sold by the Selling Stockholder may be less than or in excess of customary commissions. Neither we nor the Selling Stockholder can presently estimate the amount of compensation that any agent will receive from any purchasers of our common stock sold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the Selling Stockholder or any other stockholder, broker, dealer, underwriter or agent relating to the sale or distribution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the names of any brokers, dealers, underwriters or agents participating in the distribution of such shares by the Selling Stockholder, any compensation paid by the Selling Stockholder to any such brokers, dealers, underwriters or agents, and any other required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We will pay the expenses incident to the registration under the Securities Act of the offer and sale of our common stock covered by this prospectus by the Selling Stockholder. As consideration for its irrevocable commitment to purchase our common stock under the Purchase Agreement, we have agreed to issue to the Selling Stockholder $800,000 worth of our shares of common stock, issuable on the effective date of this registration statement, valued at the VWAP Purchase Price as of such date, as Commitment Shares. We have also agreed to pay to the Selling Stockholder $35,000 in cash as reimbursement for the reasonable, out-of-pocket expenses incurred by the Selling Stockholder, including the legal fees and disbursements of the Selling Stockholder’s legal counsel, in connection with its due diligence investigation of the Company and in connection with the preparation, negotiation and execution of the Purchase Agreement. See “</w:t>
      </w:r>
      <w:r>
        <w:rPr>
          <w:rFonts w:ascii="Times New Roman" w:hAnsi="Times New Roman"/>
          <w:i/>
          <w:sz w:val="20"/>
          <w:u w:val="single"/>
        </w:rPr>
        <w:t>The Committed Equity Financing</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also have agreed to indemnify the Selling Stockholder and certain other persons against certain liabilities in connection with the offering of our common stock offered hereby, including liabilities arising under the Securities Act or, if such indemnity is unavailable, to contribute amounts required to be paid in respect of such liabilities. The Selling Stockholder has agreed to indemnify us against liabilities under the Securities Act that may arise from certain written information furnished to us by the Selling Stockholder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represented to us that at no time prior to the date of the Purchase Agreement has the Selling Stockholder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The Selling Stockholder has agreed that during the term of the Purchase Agreement, neither the Selling Stockholder, nor any of its agents, representatives or affiliates will enter into or effect, directly or indirectly, any of the foregoing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of our common stock offered by this prospectus have been sold by the Selling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x47881_11"/>
      <w:bookmarkEnd w:id="13"/>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following description summarizes the most important terms of our capital stock. Because it is only a summary of the provisions of our Third Amended and Restated Certificate of Incorporation, as amended (the “Certificate of Incorporation”), and amended and restated bylaws, it does not contain all of the information that may be important to you. For a complete description of the matters set forth in this “</w:t>
      </w:r>
      <w:r>
        <w:rPr>
          <w:rFonts w:ascii="Times New Roman" w:hAnsi="Times New Roman"/>
          <w:i/>
          <w:sz w:val="20"/>
          <w:u w:val="single"/>
        </w:rPr>
        <w:t>Description of Capital Stock</w:t>
      </w:r>
      <w:r>
        <w:rPr>
          <w:rFonts w:ascii="Times New Roman" w:hAnsi="Times New Roman"/>
          <w:sz w:val="20"/>
        </w:rPr>
        <w:t xml:space="preserve">,” you should refer to our Certificate of Incorporation and our amended and restated bylaws and to the applicable provisions of Delaware law. Our authorized capital stock consists of 554,475,074 shares of capital stock, which consists of (i) 500,000,000 shares of voting common stock, $0.0001 par value per share, (ii) 50,000,000 shares of convertible non-voting common stock, $0.0001 par value per share, and (iii) 4,475,074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common stock: voting common stock and non-voting common stock. Holders of both classes of our common stock are entitled to receive ratably any dividends declared by our board of directors out of funds legally available for that purpose, subject to any preferential dividend rights of any outstanding preferred stock or that we may designate or issue in the future. In the event of our liquidation, dissolution or winding up, the holders of both classes of our common stock are entitled to share ratably in all assets remaining after the payment of liabilities, subject to the prior distribution rights of preferred stock then outstanding. There are no preemptive, conversion or subscription rights applicable to either class of common stock. There are no redemption or sinking fund provisions applicable to either class of common stock. The rights, preferences, and privileges of the holders of both classes of common stock are subject to and may be adversely affected by, the rights of the holders of shares of any series of preferred stock that we may designate in the future. All of our outstanding shares of voting common stock and non-voting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voting common stock are entitled to one vote for each share held on all matters submitted to a vote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non-voting common stock do not have any cumulative voting rights and are not entitled to vote, except on an as-converted basis with respect to any Change of Control (as defined in the Certificate of Incorporation). Each share of non-voting common stock is convertible into twelve billion four hundred three million one hundred twenty-five thousandth (1/12,403,125,000th) of a share of voting common stock at the election of the holder thereof. As of the date of this prospectus, there are no shares of non-voting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is authorized to issue up to 4,475,074 shares of preferred stock from time to time, in one or more classes or series, without stockholder approval. As of the date of this prospectus, there are 240 shares of Series P Non-Convertible Preferred Stock, and 884.25 shares of Series Q Perpetual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class or series, our board of directors is required by the Delaware General Corporation Law (“DGCL”) and our Certificate of Incorporation to adopt resolutions and file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with the Delaware Secretary of State. The certificate of designation fixes for each class or series the designations, powers, preferences, rights, qualifications, limitations and restrictions of that class or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when issued and paid for, will be validly issued, fully paid and nonassessable and will not have any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specify the following terms relating to any class or series of preferred stock offered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Certificate of Incorporation and amended and restated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the chairman of our board of directors, the chief executive officer or the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approval of the stockholders of at least 75% of the shares and a majority of the board of directors to amend certain of the above-mentioned provisions.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provisions of our Certificate of Incorporation and amended and restated bylaws, unless we consent in writing to the selection of an alternative forum,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Certificate of Incorporation or amended and restated bylaws; (iv) any action to interpret, apply, enforce or determine the validity of our Certificate of Incorporation or amended and restated bylaws; or (v) any action asserting a claim against us governed by the internal affairs doctrine; provided that, if and only if the Court of Chancery of the State of Delaware does not have subject matter jurisdiction, then any such action may be brought in another state or federal court sitting in the State of Delaware.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or amended and restated bylaws to be inapplicable or unenforceable in such action. Our amended and restated bylaws provide that if any part of the exclusive forum provision is held to be invalid, illegal or unenforceable, as applied to any person or entity or circumstance for any reason whatsoever, then, to the fullest extent permitted by law, the validity, legality and enforceability of such part in any other circumstance and of the remaining parts of the exclusive forum provision and the application of such provision to other persons or entities and circumstances will not in any way be affected or impaired thereby.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the payment of a premium over the market price for the shares of common stock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and our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of our voting common stock is Equiniti Trust Company, LLC. Their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National 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voting common stock is currently listed on Nasdaq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4788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Reed Smith LLP, Palo Alto, California. </w:t>
      </w:r>
    </w:p>
    <w:p>
      <w:pPr>
        <w:pStyle w:val="TextBody"/>
        <w:bidi w:val="0"/>
        <w:spacing w:before="480" w:after="0"/>
        <w:jc w:val="center"/>
        <w:rPr>
          <w:rFonts w:ascii="Times New Roman" w:hAnsi="Times New Roman"/>
          <w:b/>
          <w:sz w:val="20"/>
        </w:rPr>
      </w:pPr>
      <w:bookmarkStart w:id="15" w:name="tx4788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two years in the period ended December 31, 2025 incorporated by reference in this prospectus and the registration statement have been so incorporated in reliance on the report of RBSM LLP, an independent registered public accounting firm, incorporated herein by reference,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47881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Annual Reports on Form 10-K, Quarterly Reports on Form 10-Q, and Current Reports on Form 8-K, including any amendments to those reports, and other information that we file with or furnish to the SEC pursuant to Section 13(a) or 15(d) of the Exchange Act are available free of charge on our website and through the SEC’s Electronic Data Gathering, Analysis, and Retrieval system (EDGAR). The SEC maintains an Internet site that contains reports, proxy and information statements, and other information regarding issuers that file electronically with the SEC at https://www.sec.gov. You may access the registration statement, of which this prospectus is a part, at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through our website, free of charge, copies of our SEC filings as soon as reasonably practicable after we electronically file or furnish them to the SEC on our website, https://jaguar.health. We have not incorporated by reference into this prospectus the information on our website, and you should not consider it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forms part of a registration statement we have filed with the SEC relating to, among other things, the common stock. As permitted by SEC rules, this prospectus does not contain all the information we have included in the registration statement and the accompanying exhibits and schedules we have filed with the SEC. You may refer to the registration statement, exhibits and schedules for more information about us and the common stock. The statements this prospectus make pertaining to the content of any contract, agreement or other document that is an exhibit to the registration statement necessarily are summaries of their material provisions, and we qualify them in their entirety by reference to those exhibits for complete statements of their provisions. The registration statement, exhibits and schedules are available through the SEC’s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47881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at www.sec.gov. The SEC allows us to “incorporate by reference” the information in certain documents that we file with it, which means that we can disclose important information to you by referring you to documents previously filed with the SEC. The information incorporated by reference is considered to be part of this prospectus, and the information that we subsequently file with the SEC will automatically update and supersede this information. This prospectus incorporates by reference the Company’s documents listed below and all documents subsequently filed by us with the SEC pursuant to Sections 13(a), 13(c), 14 or 15(d) of the Exchange Act prior to the termination of the offering of the securities described in this prospectus (other than documents or information deemed to have been furnished and not filed in accordance with SEC rules, unless otherwise expressly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period ending March 31, 2026 filed with the SEC on May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Special Meeting of Stockholders held on </w:t>
            </w:r>
            <w:hyperlink r:id="rId5">
              <w:r>
                <w:rPr>
                  <w:rStyle w:val="InternetLink"/>
                  <w:rFonts w:ascii="Times New Roman" w:hAnsi="Times New Roman"/>
                  <w:sz w:val="20"/>
                </w:rPr>
                <w:t>April 20, 2026</w:t>
              </w:r>
            </w:hyperlink>
            <w:r>
              <w:rPr>
                <w:rFonts w:ascii="Times New Roman" w:hAnsi="Times New Roman"/>
                <w:sz w:val="20"/>
              </w:rPr>
              <w:t xml:space="preserve">, filed on </w:t>
            </w:r>
            <w:hyperlink r:id="rId6">
              <w:r>
                <w:rPr>
                  <w:rStyle w:val="InternetLink"/>
                  <w:rFonts w:ascii="Times New Roman" w:hAnsi="Times New Roman"/>
                  <w:sz w:val="20"/>
                </w:rPr>
                <w:t>March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Annual Meeting of Stockholders adjourned on May 22, 2026 and June 2, 2026 and reconvened on June 8, 2026, filed on </w:t>
            </w:r>
            <w:hyperlink r:id="rId7">
              <w:r>
                <w:rPr>
                  <w:rStyle w:val="InternetLink"/>
                  <w:rFonts w:ascii="Times New Roman" w:hAnsi="Times New Roman"/>
                  <w:sz w:val="20"/>
                </w:rPr>
                <w:t>April 30, 2026</w:t>
              </w:r>
            </w:hyperlink>
            <w:r>
              <w:rPr>
                <w:rFonts w:ascii="Times New Roman" w:hAnsi="Times New Roman"/>
                <w:sz w:val="20"/>
              </w:rPr>
              <w:t xml:space="preserve">, amended and supplemented by the supplements to the definitive proxy statement filed on </w:t>
            </w:r>
            <w:hyperlink r:id="rId8">
              <w:r>
                <w:rPr>
                  <w:rStyle w:val="InternetLink"/>
                  <w:rFonts w:ascii="Times New Roman" w:hAnsi="Times New Roman"/>
                  <w:sz w:val="20"/>
                </w:rPr>
                <w:t>May  6, 2026</w:t>
              </w:r>
            </w:hyperlink>
            <w:r>
              <w:rPr>
                <w:rFonts w:ascii="Times New Roman" w:hAnsi="Times New Roman"/>
                <w:sz w:val="20"/>
              </w:rPr>
              <w:t xml:space="preserve"> and </w:t>
            </w:r>
            <w:hyperlink r:id="rId9">
              <w:r>
                <w:rPr>
                  <w:rStyle w:val="InternetLink"/>
                  <w:rFonts w:ascii="Times New Roman" w:hAnsi="Times New Roman"/>
                  <w:sz w:val="20"/>
                </w:rPr>
                <w:t>May 29, 2026</w:t>
              </w:r>
            </w:hyperlink>
            <w:r>
              <w:rPr>
                <w:rFonts w:ascii="Times New Roman" w:hAnsi="Times New Roman"/>
                <w:sz w:val="20"/>
              </w:rPr>
              <w:t xml:space="preserve">,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0">
              <w:r>
                <w:rPr>
                  <w:rStyle w:val="InternetLink"/>
                  <w:rFonts w:ascii="Times New Roman" w:hAnsi="Times New Roman"/>
                  <w:sz w:val="20"/>
                </w:rPr>
                <w:t>January 12, 2026</w:t>
              </w:r>
            </w:hyperlink>
            <w:r>
              <w:rPr>
                <w:rFonts w:ascii="Times New Roman" w:hAnsi="Times New Roman"/>
                <w:sz w:val="20"/>
              </w:rPr>
              <w:t xml:space="preserve"> (SEC Accession No. 0001193125-26-009221), </w:t>
            </w:r>
            <w:hyperlink r:id="rId11">
              <w:r>
                <w:rPr>
                  <w:rStyle w:val="InternetLink"/>
                  <w:rFonts w:ascii="Times New Roman" w:hAnsi="Times New Roman"/>
                  <w:sz w:val="20"/>
                </w:rPr>
                <w:t>January  12, 2026</w:t>
              </w:r>
            </w:hyperlink>
            <w:r>
              <w:rPr>
                <w:rFonts w:ascii="Times New Roman" w:hAnsi="Times New Roman"/>
                <w:sz w:val="20"/>
              </w:rPr>
              <w:t xml:space="preserve"> (SEC Accession No.  0001193125-26-009644), </w:t>
            </w:r>
            <w:hyperlink r:id="rId12">
              <w:r>
                <w:rPr>
                  <w:rStyle w:val="InternetLink"/>
                  <w:rFonts w:ascii="Times New Roman" w:hAnsi="Times New Roman"/>
                  <w:sz w:val="20"/>
                </w:rPr>
                <w:t>January  15, 2026</w:t>
              </w:r>
            </w:hyperlink>
            <w:r>
              <w:rPr>
                <w:rFonts w:ascii="Times New Roman" w:hAnsi="Times New Roman"/>
                <w:sz w:val="20"/>
              </w:rPr>
              <w:t xml:space="preserve">, </w:t>
            </w:r>
            <w:hyperlink r:id="rId13">
              <w:r>
                <w:rPr>
                  <w:rStyle w:val="InternetLink"/>
                  <w:rFonts w:ascii="Times New Roman" w:hAnsi="Times New Roman"/>
                  <w:sz w:val="20"/>
                </w:rPr>
                <w:t>January  23, 2026</w:t>
              </w:r>
            </w:hyperlink>
            <w:r>
              <w:rPr>
                <w:rFonts w:ascii="Times New Roman" w:hAnsi="Times New Roman"/>
                <w:sz w:val="20"/>
              </w:rPr>
              <w:t xml:space="preserve">, </w:t>
            </w:r>
            <w:hyperlink r:id="rId14">
              <w:r>
                <w:rPr>
                  <w:rStyle w:val="InternetLink"/>
                  <w:rFonts w:ascii="Times New Roman" w:hAnsi="Times New Roman"/>
                  <w:sz w:val="20"/>
                </w:rPr>
                <w:t>February  18, 2026</w:t>
              </w:r>
            </w:hyperlink>
            <w:r>
              <w:rPr>
                <w:rFonts w:ascii="Times New Roman" w:hAnsi="Times New Roman"/>
                <w:sz w:val="20"/>
              </w:rPr>
              <w:t xml:space="preserve">, </w:t>
            </w:r>
            <w:hyperlink r:id="rId15">
              <w:r>
                <w:rPr>
                  <w:rStyle w:val="InternetLink"/>
                  <w:rFonts w:ascii="Times New Roman" w:hAnsi="Times New Roman"/>
                  <w:sz w:val="20"/>
                </w:rPr>
                <w:t>March  3, 2026</w:t>
              </w:r>
            </w:hyperlink>
            <w:r>
              <w:rPr>
                <w:rFonts w:ascii="Times New Roman" w:hAnsi="Times New Roman"/>
                <w:sz w:val="20"/>
              </w:rPr>
              <w:t xml:space="preserve">, </w:t>
            </w:r>
            <w:hyperlink r:id="rId16">
              <w:r>
                <w:rPr>
                  <w:rStyle w:val="InternetLink"/>
                  <w:rFonts w:ascii="Times New Roman" w:hAnsi="Times New Roman"/>
                  <w:sz w:val="20"/>
                </w:rPr>
                <w:t>March  6, 2026</w:t>
              </w:r>
            </w:hyperlink>
            <w:r>
              <w:rPr>
                <w:rFonts w:ascii="Times New Roman" w:hAnsi="Times New Roman"/>
                <w:sz w:val="20"/>
              </w:rPr>
              <w:t xml:space="preserve">, </w:t>
            </w:r>
            <w:hyperlink r:id="rId17">
              <w:r>
                <w:rPr>
                  <w:rStyle w:val="InternetLink"/>
                  <w:rFonts w:ascii="Times New Roman" w:hAnsi="Times New Roman"/>
                  <w:sz w:val="20"/>
                </w:rPr>
                <w:t>March 9, 2026</w:t>
              </w:r>
            </w:hyperlink>
            <w:r>
              <w:rPr>
                <w:rFonts w:ascii="Times New Roman" w:hAnsi="Times New Roman"/>
                <w:sz w:val="20"/>
              </w:rPr>
              <w:t xml:space="preserve">, April  7, 2026, </w:t>
            </w:r>
            <w:hyperlink r:id="rId18">
              <w:r>
                <w:rPr>
                  <w:rStyle w:val="InternetLink"/>
                  <w:rFonts w:ascii="Times New Roman" w:hAnsi="Times New Roman"/>
                  <w:sz w:val="20"/>
                </w:rPr>
                <w:t>April  9, 2026</w:t>
              </w:r>
            </w:hyperlink>
            <w:r>
              <w:rPr>
                <w:rFonts w:ascii="Times New Roman" w:hAnsi="Times New Roman"/>
                <w:sz w:val="20"/>
              </w:rPr>
              <w:t xml:space="preserve">, </w:t>
            </w:r>
            <w:hyperlink r:id="rId19">
              <w:r>
                <w:rPr>
                  <w:rStyle w:val="InternetLink"/>
                  <w:rFonts w:ascii="Times New Roman" w:hAnsi="Times New Roman"/>
                  <w:sz w:val="20"/>
                </w:rPr>
                <w:t>April  21, 2026</w:t>
              </w:r>
            </w:hyperlink>
            <w:r>
              <w:rPr>
                <w:rFonts w:ascii="Times New Roman" w:hAnsi="Times New Roman"/>
                <w:sz w:val="20"/>
              </w:rPr>
              <w:t xml:space="preserve">, </w:t>
            </w:r>
            <w:hyperlink r:id="rId20">
              <w:r>
                <w:rPr>
                  <w:rStyle w:val="InternetLink"/>
                  <w:rFonts w:ascii="Times New Roman" w:hAnsi="Times New Roman"/>
                  <w:sz w:val="20"/>
                </w:rPr>
                <w:t>April  27, 2026</w:t>
              </w:r>
            </w:hyperlink>
            <w:r>
              <w:rPr>
                <w:rFonts w:ascii="Times New Roman" w:hAnsi="Times New Roman"/>
                <w:sz w:val="20"/>
              </w:rPr>
              <w:t xml:space="preserve">, </w:t>
            </w:r>
            <w:hyperlink r:id="rId21">
              <w:r>
                <w:rPr>
                  <w:rStyle w:val="InternetLink"/>
                  <w:rFonts w:ascii="Times New Roman" w:hAnsi="Times New Roman"/>
                  <w:sz w:val="20"/>
                </w:rPr>
                <w:t>May 4, 2026</w:t>
              </w:r>
            </w:hyperlink>
            <w:r>
              <w:rPr>
                <w:rFonts w:ascii="Times New Roman" w:hAnsi="Times New Roman"/>
                <w:sz w:val="20"/>
              </w:rPr>
              <w:t xml:space="preserve"> (SEC Accession No. 0001193125-26-202614), </w:t>
            </w:r>
            <w:hyperlink r:id="rId22">
              <w:r>
                <w:rPr>
                  <w:rStyle w:val="InternetLink"/>
                  <w:rFonts w:ascii="Times New Roman" w:hAnsi="Times New Roman"/>
                  <w:sz w:val="20"/>
                </w:rPr>
                <w:t>May  4, 2026</w:t>
              </w:r>
            </w:hyperlink>
            <w:r>
              <w:rPr>
                <w:rFonts w:ascii="Times New Roman" w:hAnsi="Times New Roman"/>
                <w:sz w:val="20"/>
              </w:rPr>
              <w:t xml:space="preserve"> (SEC Accession No.  0001193125-26-204310), </w:t>
            </w:r>
            <w:hyperlink r:id="rId23">
              <w:r>
                <w:rPr>
                  <w:rStyle w:val="InternetLink"/>
                  <w:rFonts w:ascii="Times New Roman" w:hAnsi="Times New Roman"/>
                  <w:sz w:val="20"/>
                </w:rPr>
                <w:t>May  7, 2026</w:t>
              </w:r>
            </w:hyperlink>
            <w:r>
              <w:rPr>
                <w:rFonts w:ascii="Times New Roman" w:hAnsi="Times New Roman"/>
                <w:sz w:val="20"/>
              </w:rPr>
              <w:t xml:space="preserve">, </w:t>
            </w:r>
            <w:hyperlink r:id="rId24">
              <w:r>
                <w:rPr>
                  <w:rStyle w:val="InternetLink"/>
                  <w:rFonts w:ascii="Times New Roman" w:hAnsi="Times New Roman"/>
                  <w:sz w:val="20"/>
                </w:rPr>
                <w:t>May  19, 2026</w:t>
              </w:r>
            </w:hyperlink>
            <w:r>
              <w:rPr>
                <w:rFonts w:ascii="Times New Roman" w:hAnsi="Times New Roman"/>
                <w:sz w:val="20"/>
              </w:rPr>
              <w:t xml:space="preserve">, </w:t>
            </w:r>
            <w:hyperlink r:id="rId25">
              <w:r>
                <w:rPr>
                  <w:rStyle w:val="InternetLink"/>
                  <w:rFonts w:ascii="Times New Roman" w:hAnsi="Times New Roman"/>
                  <w:sz w:val="20"/>
                </w:rPr>
                <w:t>May  22, 2026</w:t>
              </w:r>
            </w:hyperlink>
            <w:r>
              <w:rPr>
                <w:rFonts w:ascii="Times New Roman" w:hAnsi="Times New Roman"/>
                <w:sz w:val="20"/>
              </w:rPr>
              <w:t xml:space="preserve">, </w:t>
            </w:r>
            <w:hyperlink r:id="rId26">
              <w:r>
                <w:rPr>
                  <w:rStyle w:val="InternetLink"/>
                  <w:rFonts w:ascii="Times New Roman" w:hAnsi="Times New Roman"/>
                  <w:sz w:val="20"/>
                </w:rPr>
                <w:t>May  27, 2026</w:t>
              </w:r>
            </w:hyperlink>
            <w:r>
              <w:rPr>
                <w:rFonts w:ascii="Times New Roman" w:hAnsi="Times New Roman"/>
                <w:sz w:val="20"/>
              </w:rPr>
              <w:t xml:space="preserve">, </w:t>
            </w:r>
            <w:hyperlink r:id="rId27">
              <w:r>
                <w:rPr>
                  <w:rStyle w:val="InternetLink"/>
                  <w:rFonts w:ascii="Times New Roman" w:hAnsi="Times New Roman"/>
                  <w:sz w:val="20"/>
                </w:rPr>
                <w:t>June  2, 2026</w:t>
              </w:r>
            </w:hyperlink>
            <w:r>
              <w:rPr>
                <w:rFonts w:ascii="Times New Roman" w:hAnsi="Times New Roman"/>
                <w:sz w:val="20"/>
              </w:rPr>
              <w:t xml:space="preserve">, </w:t>
            </w:r>
            <w:hyperlink r:id="rId28">
              <w:r>
                <w:rPr>
                  <w:rStyle w:val="InternetLink"/>
                  <w:rFonts w:ascii="Times New Roman" w:hAnsi="Times New Roman"/>
                  <w:sz w:val="20"/>
                </w:rPr>
                <w:t>June  8, 2026</w:t>
              </w:r>
            </w:hyperlink>
            <w:r>
              <w:rPr>
                <w:rFonts w:ascii="Times New Roman" w:hAnsi="Times New Roman"/>
                <w:sz w:val="20"/>
              </w:rPr>
              <w:t xml:space="preserve">, </w:t>
            </w:r>
            <w:hyperlink r:id="rId29">
              <w:r>
                <w:rPr>
                  <w:rStyle w:val="InternetLink"/>
                  <w:rFonts w:ascii="Times New Roman" w:hAnsi="Times New Roman"/>
                  <w:sz w:val="20"/>
                </w:rPr>
                <w:t>June  11, 2026</w:t>
              </w:r>
            </w:hyperlink>
            <w:r>
              <w:rPr>
                <w:rFonts w:ascii="Times New Roman" w:hAnsi="Times New Roman"/>
                <w:sz w:val="20"/>
              </w:rPr>
              <w:t xml:space="preserve">, </w:t>
            </w:r>
            <w:hyperlink r:id="rId30">
              <w:r>
                <w:rPr>
                  <w:rStyle w:val="InternetLink"/>
                  <w:rFonts w:ascii="Times New Roman" w:hAnsi="Times New Roman"/>
                  <w:sz w:val="20"/>
                </w:rPr>
                <w:t>June  18, 2026</w:t>
              </w:r>
            </w:hyperlink>
            <w:r>
              <w:rPr>
                <w:rFonts w:ascii="Times New Roman" w:hAnsi="Times New Roman"/>
                <w:sz w:val="20"/>
              </w:rPr>
              <w:t xml:space="preserve">, </w:t>
            </w:r>
            <w:hyperlink r:id="rId31">
              <w:r>
                <w:rPr>
                  <w:rStyle w:val="InternetLink"/>
                  <w:rFonts w:ascii="Times New Roman" w:hAnsi="Times New Roman"/>
                  <w:sz w:val="20"/>
                </w:rPr>
                <w:t>June 22, 2026</w:t>
              </w:r>
            </w:hyperlink>
            <w:r>
              <w:rPr>
                <w:rFonts w:ascii="Times New Roman" w:hAnsi="Times New Roman"/>
                <w:sz w:val="20"/>
              </w:rPr>
              <w:t xml:space="preserve">, June 25, 2026, July 1, 2026 and July 14, 2026, and on Form 8-K/A filed on </w:t>
            </w:r>
            <w:hyperlink r:id="rId32">
              <w:r>
                <w:rPr>
                  <w:rStyle w:val="InternetLink"/>
                  <w:rFonts w:ascii="Times New Roman" w:hAnsi="Times New Roman"/>
                  <w:sz w:val="20"/>
                </w:rPr>
                <w:t>January  12, 2026</w:t>
              </w:r>
            </w:hyperlink>
            <w:r>
              <w:rPr>
                <w:rFonts w:ascii="Times New Roman" w:hAnsi="Times New Roman"/>
                <w:sz w:val="20"/>
              </w:rPr>
              <w:t xml:space="preserve"> and </w:t>
            </w:r>
            <w:hyperlink r:id="rId33">
              <w:r>
                <w:rPr>
                  <w:rStyle w:val="InternetLink"/>
                  <w:rFonts w:ascii="Times New Roman" w:hAnsi="Times New Roman"/>
                  <w:sz w:val="20"/>
                </w:rPr>
                <w:t>June 22, 2026</w:t>
              </w:r>
            </w:hyperlink>
            <w:r>
              <w:rPr>
                <w:rFonts w:ascii="Times New Roman" w:hAnsi="Times New Roman"/>
                <w:sz w:val="20"/>
              </w:rPr>
              <w:t xml:space="preserve"> (other than information furnished under Item 2.02 or Item 7.01 of Form 8-K and exhibits relating to such information, which is neither filed nor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SEC file number for each of the documents listed above is 001-36714.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the Company files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except as to any document or portion of any document that is deemed furnished and not filed.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Investor Relations, Jaguar Health, Inc., 200 Pine Street, Suite 400, San Francisco, CA, 94104 or call (415) 371-8300.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81450" cy="1049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4"/>
                    <a:stretch>
                      <a:fillRect/>
                    </a:stretch>
                  </pic:blipFill>
                  <pic:spPr bwMode="auto">
                    <a:xfrm>
                      <a:off x="0" y="0"/>
                      <a:ext cx="3981450" cy="10490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Resale of up to 40,800,000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2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The following table sets forth the costs and expenses payable by us in connection with the issuance and distribution of the securities being registered hereunder. All of the amounts shown are estimates, except for the SEC Registration Fees.</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9"/>
        <w:gridCol w:w="397"/>
        <w:gridCol w:w="141"/>
        <w:gridCol w:w="1339"/>
        <w:gridCol w:w="63"/>
      </w:tblGrid>
      <w:tr>
        <w:trPr/>
        <w:tc>
          <w:tcPr>
            <w:tcW w:w="4999"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480" w:type="dxa"/>
            <w:gridSpan w:val="2"/>
            <w:tcBorders/>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12,395.86</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40,000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107,395.86</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authorizes a corporation in its certificate of incorporation to eliminate or limit personal liability of directors of the corporation for violations of the directors’ fiduciary duty of care. However, directors remain liable for breaches of duties of loyalty, failing to act in good faith, engaging in intentional misconduct, knowingly violating a law, paying a dividend or approving a stock repurchase which was illegal under DGCL Section 174 or obtaining an improper personal benefit. In addition, equitable remedies for breach of fiduciary duty of care, such as injunction or recession, are available. </w:t>
      </w:r>
    </w:p>
    <w:p>
      <w:pPr>
        <w:pStyle w:val="TextBody"/>
        <w:bidi w:val="0"/>
        <w:spacing w:before="240" w:after="0"/>
        <w:jc w:val="left"/>
        <w:rPr>
          <w:rFonts w:ascii="Times New Roman" w:hAnsi="Times New Roman"/>
          <w:sz w:val="20"/>
        </w:rPr>
      </w:pPr>
      <w:r>
        <w:rPr>
          <w:rFonts w:ascii="Times New Roman" w:hAnsi="Times New Roman"/>
          <w:sz w:val="20"/>
        </w:rPr>
        <w:t xml:space="preserve">Our current certificate of incorporation eliminates the personal liability of the members of our board of directors to the fullest extent permitted by the DGCL. Any repeal or modification of that provision by the stockholders of the corporation will not adversely affect any right or protection of a director of the corporation existing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current bylaws provide for indemnification of its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pursuant to which we agreed, to the maximum extent permitted by applicable law and subject to the specified terms and conditions set forth in each agreement, to indemnify a director or officer who acts on our behalf and is made or threatened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made a party to any action or proceeding against expenses, judgments, fines and amounts paid in settlement that are incurred by such officer or director in connection with the action or proceeding. The indemnification provisions apply whether the action was instituted by a third party or by us.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and maintain insurance on behalf of our officers and directors that provides coverage for expenses and liabilities incurred by them in their capacities as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below lists all of the securities sold by us during the past three years which were not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2023, pursuant to that certain exchange agreement dated December 28, 2023, the Company issued 92 shares of the Company’s common stock to Iliad Research and Trading, L.P. (“Iliad”), in exchange for a $785,362.50 reduction in the outstanding balance of the royalty interest held by Iliad.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Streeterville Capital, LLC (“Streeterville”) pursuant to which the Company issued 30 shares of the Company’s common stock, par value $0.0001, to Streeterville in exchange for a $165,000 reduction in the outstanding balance of the royalty interest dated August 24, 2022.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Company entered into a privately negotiated exchange agreement with Iliad pursuant to which the Company issued an aggregate of 152 shares of the Company’s common stock to Iliad in exchange for a $836,000 reduction in the outstanding balance of the royalty interest in the original principal amount of $12.0 million sold by the Company to Iliad on October 8, 2020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2024, pursuant to the PIPE Purchase Agreement, each of the PIPE investors entered into an exchange agreement with the Company (each, a “PIPE Warrant Exchange Agreement” and collectively, the “PIPE Warrant Exchange Agreements”). Pursuant to the PIPE Warrant Exchange Agreements, the Company agreed to exchange the PIPE Warrants for shares of common stock at an exchange ratio of 1-for-2.5 (“PIPE Warrant Exchange Transaction”). Upon completion of the PIPE Warrant Exchange Transaction, the Company exchanged the PIPE Warrants to purchase up to 143 shares of Common Stock for 358 shares of Common Stock (the “PIPE Exchange Shares”), and the PIPE Warrants were terminated. The PIPE Exchange Shares would be subject to a twelve-month lock-up, and any other equity security of the Company other than the PIPE Exchange Shares owned by the PIPE investors as of the date of the PIPE Warrant Exchange Agreement would be subject to a six-month lock-up. </w:t>
      </w:r>
    </w:p>
    <w:p>
      <w:pPr>
        <w:pStyle w:val="TextBody"/>
        <w:bidi w:val="0"/>
        <w:spacing w:before="240" w:after="0"/>
        <w:jc w:val="left"/>
        <w:rPr>
          <w:rFonts w:ascii="Times New Roman" w:hAnsi="Times New Roman"/>
          <w:sz w:val="20"/>
        </w:rPr>
      </w:pPr>
      <w:r>
        <w:rPr>
          <w:rFonts w:ascii="Times New Roman" w:hAnsi="Times New Roman"/>
          <w:sz w:val="20"/>
        </w:rPr>
        <w:t xml:space="preserve">On March 1, 2024, the Company entered into a privately negotiated exchange agreement with Streeterville, pursuant to which the Company issued an aggregate of 179.38 shares of Series J Preferred Stock to Streeterville in exchange for the surrender by Streeterville of the royalty interest in the original principal amount of $10 million issued by the Company to Streeterville on March 8, 2021 (the “March 2021 Royalty Interest”). Upon completion of the above-referenced exchange transaction, all outstanding balance of the March 2021 Royalty Interest was fully paid, and the March 2021 Royalty Interest was terminated. </w:t>
      </w:r>
    </w:p>
    <w:p>
      <w:pPr>
        <w:pStyle w:val="TextBody"/>
        <w:bidi w:val="0"/>
        <w:spacing w:before="240" w:after="0"/>
        <w:jc w:val="left"/>
        <w:rPr>
          <w:rFonts w:ascii="Times New Roman" w:hAnsi="Times New Roman"/>
          <w:sz w:val="20"/>
        </w:rPr>
      </w:pPr>
      <w:r>
        <w:rPr>
          <w:rFonts w:ascii="Times New Roman" w:hAnsi="Times New Roman"/>
          <w:sz w:val="20"/>
        </w:rPr>
        <w:t xml:space="preserve">On March 5, 2024, the Company entered into a privately negotiated exchange agreement with Streeterville, pursuant to which the Company issued 190 shares of the Company’s common stock in exchange for the surrender and cancellation of 40 shares of Series J Perpetual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2024, the Company entered into a privately negotiated securities purchase agreement with Gen Ilac Ve Saglik Urunleri Sanayi Ve Ticaret, A.S., (“Gen”) pursuant to which the Company issued 317 shares of the Company’s common stock at $6,300.00 per share for gross proceeds of approximately $2.0 million. The sale of the securities was consummated in connection with the licensing transaction covering the exclusive license and commercialization agreement for the Company’s FDA-approved prescription drug Crofelemer with purchasers in certain Eastern European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March 19, 2024, the Company entered into a privately negotiated exchange agreement with Streeterville, pursuant to which the Company issued 158 shares of the Company’s common stock in exchange for the surrender and cancellation of 40 shares of Series J Perpetual Preferred Stock based on an effective exchange price of $6.300.00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June 7, 2024, the Company entered into an exchange agreement with Iliad, pursuant to which the parties agreed to partition $1,500,000 from the outstanding balance of the October 2020 Royalty Interest. This reduced the outstanding balance of the October 2020 Royalty Interest. The partitioned royalty was exchanged for 7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15, 2024, the Company entered into a privately negotiated exchange agreement with Iliad pursuant to which the Company issued an aggregate of 520 shares of common stock to Iliad in exchange for a $1.9 million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the Company entered into a privately negotiated exchange agreement with Iliad pursuant to which the Company issued an aggregate of 229 shares of common stock to Iliad in exchange for $819,600 reduction in the outstanding balance of the October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2025, the Company entered into a privately negotiated exchange agreement with Uptown. Pursuant to such exchange agreement, the Company issued 1,474 shares of common stock to Uptown in exchange for a $1,094,952 reduction in the outstanding balance of the royalty interest held by Uptown.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2025, the Company entered into securities purchase agreements (the “Convertible Note Purchase Agreements”) with selected institutional and accredited investors (each, a “Note Investor”), pursuant to which the Company agreed to issue approximately $3.4 million aggregate principal amount of convertible promissory notes (collectively, the “Notes”) and warrants to purchase up to 17,788 shares of common stock to the Note Investors (the “Convertible Notes Financing”). The Convertible Notes Financing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Notes bore interest at the rate of 6% per annum and would mature on June 30, 2025 (the “Maturity Date”). The Notes were convertible, at each holder’s option, in part or in full, into an aggregate of 17,789 shares (the “Conversion Shares”) of common stock, at a conversion price of $194 per share for investors who were not an officer, director, employee or consultant of the Company (collectively, an “Insider”), and $194 per share for investors who were Insiders, subject to adjustment for customary stock dividend, stock split, stock combination or other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Convertible Note Purchase Agreements, the investors received warrants (collectively, the “Convert Warrants”) to purchase up to an aggregate of 17,789 shares of common stock (the “Convert Warrant Shares”) with a fair value of $3.3 million and an initial exercise price equal to $189 per share for investors who were not Insiders, and $190 per share for investors who were Insiders, in each case subject to adjustment for reclassification of the common stock, non-cash dividend, stock split, reverse stock split or other similar transaction (the “Convert Warrant Exercise Price”). The Convert Warrants would be exercisable immediately upon issuance and would expire on the earlier of (i) March 31, 2030, (ii) the consummation of a fundamental transaction and (iii) the consummation of a liquidation event (the “Convert Warrant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Insiders, including the Company’s Chief Executive Officer, Chief Financial Officer and certain members of the Company’s board of directors and officers, participated in the Private Placement. These Insiders purchased $535,000 aggregate principal amount of the Notes, which were convertible into up to 2,752 Conversion Shares, and received Convert Warrants to purchase up to 2,752 Convert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Convertible Notes Financing, the Company issued to H.C. Wainwright &amp; Co., LLC (“Wainwright”), the placement agent for the Convertible Notes Financing, warrants to purchase up to 1,068 shares of common stock (the “Convert PA Warrants”) with a fair value of $259,000. The Convert PA Warrants have an exercise price of $242 per share.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the Company entered into a privately negotiated exchange agreement with Iliad pursuant to which the Company issued an aggregate of 1,643 shares of common stock to Iliad in exchange for $632,500 reduction in the outstanding balance of October 2020 Purchase Agreement.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13, 2025, the Company entered into a privately negotiated exchange agreement with Iliad, pursuant to which the Company issued an aggregate of 1,714 shares of common stock to Iliad in exchange for a $466,200 reduction in the outstanding balance of the October 2020 Purchase Agreement. The shares of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14, 2025, the Company entered into privately negotiated exchange agreements with Iliad and Streeterville, under which the Company issued 22 and 99.3822 shares of Series L Preferred Stock to Iliad and Streeterville, respectively, in exchange for a $550,000 reduction in the outstanding balance of the October 2020 Purchase Agreement, and for all of the outstanding 99.3822 shares of Series J Preferred Stock held by Streeterville, respectively. The shares of Series L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May 20, 2025, the Company entered into a securities purchase agreement with selected institutional investors for a registered direct offering (the “Registered Offering”) of 7,037 shares of common stock at $6.09 per share, priced at-the-market under Nasdaq rules. In a concurrent private placement, the Company issued to such investors unregistered warrants to purchase up to 14,075 shares of common stock (“Common Warrants”) at an exercise price of $204 per share. The Common Warrants are immediately exercisable and expire upon the earlier of (i) 24 months from issuance, (ii) a fundamental transaction, or (iii) a liquidation event. The Company also issued to Wainwright warrants to purchase 422 shares of common stock (the “Wainwright Warrants”), representing 6.0% of the shares sold in the Registered Offering. The Wainwright Warrants have substantially similar terms to the Common Warrants issued to investors in the same transaction, but with an exercise price of $266 per share, which represents 125% of the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On June 24, 2025, the Company completed a private exchange transaction with selected accredited investors (the “Participating Investors”), issuing approximately $2.57 million aggregate principal amount of new 6% convertible promissory notes (the “Replacement Notes”) in exchange for the cancellation of the March 2025 Convertible Notes held by such Participating Investors (the “Note Exchange Transaction”). The Replacement Notes would mature on January 30, 2026, bore interest at 6% per annum, and were immediately convertible at the option of the holders into up to 13,747 shares of the Company’s common stock at a conversion price of $194 per share for non-Insiders and $5.555 per share for Insiders, subject to adjustment for customary stock dividend, stock split, stock combination or other similar transactions; provided, however, that (a) no conversion shares may be issued to a noteholder who was an Insider unless the stockholder approval was obtained by the Company in accordance with Nasdaq Listing Rules 5635(c) and 5635(d), and (b) the total cumulative number of conversion shares that may be issued to a noteholder who was not an Insider, together with any shares of Common Stock issued to (i) such noteholder upon exercise of the New Warrants issued to such noteholder and (ii) the other Participating Investors in the same series of transactions as the Replacement Notes, may not exceed the requirements of The Nasdaq Capital Market (including the rules related to the aggregation of offerings under Nasdaq Listing Rule 5635(d), if applicable) (the “Issuance Cap”), unless the stockholder approval was obtained by the Company to issue more than the Issuance Cap. The Company also issued warrants to purchase common stock (the “New Warrants”) and agreed to file a registration statement for the resale of the related conversion shares and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Note Exchange Transaction, the Company issued to the Participating Investors New Warrants to purchase up to an aggregate of 26,531 shares of common stock (the “New Warrant Shares”) with an initial exercise price equal to $95, subject to adjustment for reclassification of the common stock, non-cash dividend, stock split, reverse stock split or other similar transaction. The New Warrants would be exercisable immediately upon the Initial Exercise Date (as define therein) and would expire on the earlier of (i) 18 months from the date of issuance, (ii) the consummation of a fundamental transaction and (iii) the consummation of a liquidation event; provided, however, that no New Warrant Shares may be issued to a holder unless the stockholder approval was obtained by the Company in accordance with Nasdaq Listing Rules 5635(c) and/or 5635(d), as applicable. All of the securities issued in the Note Exchange Transaction were offered and sold in reliance upon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June 27, 2025, the Company entered into a privately negotiated exchange agreements (the “Iliad Series M Exchange Agreement” and the “Streeterville Series M Exchange Agreement”) with Iliad and Streeterville, pursuant to which Company issued 170 shares and 90 shares of Series M Preferred Stock to Iliad and Streeterville, respectively, in exchange for a $4,250,000 reduction in the outstanding balance of the October 2020 Purchase Agreement and a $2,250,000 reduction in the outstanding balance of the August 2022 Royalty Interest, respectively. The shares of Series M Preferred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or around September 9, 2025, the Company entered into securities purchase agreements (each a “PIPE Purchase Agreement” and collectively, the “PIPE Purchase Agreements”) with certain investors named therein (collectively, the “Purchasers”), pursuant to which the Company issued and sold to the Purchasers in a private placement an aggregate of approximately 951 shares of Series N Preferred Stock, for an aggregate purchase price of approximately $2.38 million. The shares of Series N Preferred Stock were issued in reliance upon exemptions from registration pursuant to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28, 2025, the Company entered into a securities purchase agreement with Brown Stone Capital Limited (“Brown Stone”), pursuant to which the Company issued and sold to Brown Stone (i) 4,617 shares of common stock and (ii) 413,698 pre-funded warrants (the “Pre-Funded Warrants”) to purchase shares of the Company’s common stock. The securities were offered and sold in reliance upon exemptions from registration pursuant to Section 4(a)(2) under the Securities Act and Rule 506 of Regulation D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the Company entered into a privately negotiated exchange agreement with Streeterville. Pursuant to this agreement, the Company issued 8,187 shares of common stock to Streeterville in exchange for a $600,000 reduction in the outstanding balance of the royalty interest held by Streeterville. The shares of common stock that were issued in this exchange transaction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the Company entered into a privately negotiated exchange agreement with Streeterville, pursuant to which the Company issued an aggregate of 10,322 shares of common stock to Streeterville in exchange for 25 outstanding shares of Series M Preferred Stock held by Streeterville. Upon completion of such exchange transaction, the exchanged Series M Preferred Stock were cancelled and retired. The common stock were issued in reliance on the exemption from registration provided under Section 3(a)(9) of the Securities Act. </w:t>
      </w:r>
    </w:p>
    <w:p>
      <w:pPr>
        <w:pStyle w:val="TextBody"/>
        <w:bidi w:val="0"/>
        <w:spacing w:before="240" w:after="0"/>
        <w:jc w:val="left"/>
        <w:rPr>
          <w:rFonts w:ascii="Times New Roman" w:hAnsi="Times New Roman"/>
          <w:sz w:val="20"/>
        </w:rPr>
      </w:pPr>
      <w:r>
        <w:rPr>
          <w:rFonts w:ascii="Times New Roman" w:hAnsi="Times New Roman"/>
          <w:sz w:val="20"/>
        </w:rPr>
        <w:t>On December 9, 2025, the Company entered into a privately negotiated exchange agreement with Iliad (the “First Exchange Agreement”), pursuant to which the Company issued (i) 11,429 shares (the “First Exchange Shares”) of common stock and (ii) a pre-funded common stock purchase warrant to purchase 37,273 shares of common stock (the “First Pre-Funded Warrant”) to Iliad in exchange for 75 shares of Series M Preferred Stock held by Iliad (the “First Exchange Transaction”). Upon completion of the First Exchange Transaction, such 75 shares of Series M Preferred Stock were cancelled and retired.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December 11, 2025, the Company entered into another privately negotiated exchange agreement with Iliad (the “Second Exchange Agreement” and together with the First Exchange Agreement, collectively the “Exchange Agreements”), pursuant to which the Company issued (i) 1,143 shares of common stock (the “Second Exchange Shares” and together with the First Exchange Shares, collectively the “Exchange Shares”) and (ii) a pre-funded common stock purchase warrant to purchase 8,709 shares of common stock (the “Second Pre-Funded Warrant” and together with the First Pre-Funded Warrant, collectively the “Pre-Funded Warrants”) to Iliad in exchange for 16 shares of Series M Preferred Stock held by Iliad (the “Second Exchange Transaction”). Upon completion of the Second Exchange Transaction, such 16 shares of Series M Preferred Stock were cancelled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Each of the Pre-Funded Warrants is exercisable in part or in full immediately at an exercise price of $0.001 per share, and may be exercised at any time until such Pre-Funded Warrant is exercised in full. The Pre-Funded Warrants provide that the number of shares that may be exercised shall be limited to ensure that, following such exercise, the number of shares of Common Stock beneficially owned by the holder, together with its affiliates and certain related parties, does not exceed 9.99% of the total number of shares of common stock then issued and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Purchase Agreements and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On January 6, 2026, the Company entered into securities purchase agreements with two accredited investors for the issuance of unsecured promissory notes in the aggregate principal amount of $350,000. The transaction closed on the same day. The notes bore interest at a rate of 6% per annum and would mature one month from the date of issuance. The Company had the right to prepay any outstanding amount under the notes without penalty or premium. During the three months ended March 31, 2026, the Company subsequently paid the unsecured promissory notes in full.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for the investors to enter into the agreements, the Company issued warrants to purchase an aggregate of 10,000 shares of the Company’s common stock at an initial exercise price of $35.00 per share. The warrants are exercisable immediately and expire upon the earlier of five years from issuance, the consummation of a fundamental transaction, or a liquidation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Royalty and Preferred Stock Exchange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January 16, 2026, the Company entered into a series of privately negotiated exchange agreements with Iliad and Streeterville to reduce outstanding debt and retire certain classes of preferred stock. Pursuant to the exchange agreements, the Company issued six separate pre-funded common stock purchase warrants exercisable for an aggregate of 336,465 shares of common stock at an exercise price of $0.035 per share.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First and Second Pre-Funded Warrants to purchase 44,396 and 31,767 shares, respectively, in exchange for a combined reduction of $2.0 million in the outstanding balances of the October 2020 and August 2022 Royalty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Third and Fourth Pre-Funded Warrants to purchase 20,555 and 92,855 shares, respectively, in exchange for the cancellation and retirement of all 121.3822 outstanding shares of Series L Perpetual Preferred Stock held by Iliad and Streeterville.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the Fifth and Sixth Pre-Funded Warrants to purchase 82,014 and 64,879 shares, respectively, in exchange for the cancellation and retirement of 157.22 shares of Series M Perpetual Preferred Stock held by Iliad and Streeterville.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May 14, 2026, the Company entered into a privately negotiated exchange agreement with Uptown, pursuant to which the Company issued 28,660 shares of common stock to Uptown in exchange for a $91,000 reduction in the outstanding balance of the Company’s December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securities described above were deemed to be exempt from registration under the Securities Act in reliance on Section 3(a)(9) or Section 4(a)(2) of the Securities Act, Regulation D or Regulation 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the Company entered into a series of privately negotiated exchange agreements with Uptown and Streeterville to reduce outstanding obligations on existing royalty interests in exchange for the newly designated Series Q Perpetual Preferred Stock (the “Series Q Preferred Stock”). </w:t>
      </w:r>
    </w:p>
    <w:p>
      <w:pPr>
        <w:pStyle w:val="TextBody"/>
        <w:bidi w:val="0"/>
        <w:spacing w:before="240" w:after="0"/>
        <w:jc w:val="left"/>
        <w:rPr>
          <w:rFonts w:ascii="Times New Roman" w:hAnsi="Times New Roman"/>
          <w:sz w:val="20"/>
        </w:rPr>
      </w:pPr>
      <w:r>
        <w:rPr>
          <w:rFonts w:ascii="Times New Roman" w:hAnsi="Times New Roman"/>
          <w:sz w:val="20"/>
        </w:rPr>
        <w:t>The transactions are summarized as follows: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500 shares of Series Q Preferred Stock to Uptown, in exchange for a $12.5 million reduction in the outstanding balance of a royalty interest in the original principle of $12.0 million sold by the Company to Uptown in December 2020 (as amended, the “December 2020 Royalty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issued 408 shares of Series Q Preferred Stock to Streeterville, in exchange for a $10.2 million reduction in the outstanding balance of a royalty interest in the original principle of $12.0 million sold by the Company to Streeterville in August 2022 (as amended, the “August 2022 Royalty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May 21, 2026, the Company entered into two privately negotiated exchange agreements with Streeterville, pursuant to which the Company issued an aggregate of 54,222 shares of common stock to Streeterville in exchange for an aggregate of 7.96 outstanding shares of Series Q Preferred Stock held by Streeterville (the “Exchanged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Company entered into a privately negotiated exchange agreement with Streeterville, pursuant to which the Company issued 31,958 shares common stock to Streeterville in exchange for an aggregate of 3.72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Company entered into another privately negotiated exchange agreement with Streeterville, pursuant to which the Company issued 32,710 shares of common stock to Streeterville in exchange for an aggregate of 4.2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another privately negotiated exchange agreement with Streeterville, pursuant to which the Company issued 34,798 shares of common stock with Streeterville in exchange for an aggregate of 3.8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securities purchase agreements (each a “Preferred Stock Purchase Agreement” and collectively, the “Preferred Stock Purchase Agreements”) with certain investors named therein (collectively, the “Investors”), pursuant to which the Company agreed to issue and sell to the Investors in a private placement an aggregate of 240 shares (the “Preferred Shares”) of Series P Non-Convertible Preferred Stock, par value $0.0001 per share, of the Company (“Series P Preferred Stock”), for an aggregate purchase price of $2 million (the “Preferred Stock Financing”). The Preferred Stock Financing closed June 9,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Investors’ execution and delivery of the Preferred Stock Purchase Agreements, the Company agreed to issue to the Investors within one trading day after the filing date of the registration statement relating to the Preferred Stock Financing (the “Preferred Registration Statement”) pre-funded warrants (the “Commencement Pre-Funded Warrant”), exercisable to purchase up to an aggregate number of shares of common stock equal to $72,000 divided by the greater of (i) the average VWAP of the Common Stock over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five trading day period immediately preceding the filing of the initial Preferred Registration Statement, and (ii) 20% of the Nasdaq Minimum Price (as defined in Nasdaq Rule 5635(d)(1)(A)) of common stock on the execution date of the Preferred Stock Purchase Agreements. The shares of common stock issuable upon exercise of the Commencement Pre-Funded Warrant will be included in the Preferred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an exchange agreement with Streeterville, pursuant to which the Company issued 34,798 shares (the “First Exchange Shares”) of common stock to Streeterville in exchange for an aggregate of 3.8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entered into another exchange agreement with Streeterville, pursuant to which the Company issued 36,796 shares (the “Second Exchange Shares”) of common stock to Streeterville in exchange for an aggregate of 3.4 outstanding shares of Series Q Preferred Stock held by Streeterville, which when combined with the First Exchange Shares resulted in the aggregate issuance by the Company of more than 5% of the Company’s issued and outstanding shares of common stock, as last reported in the Company’s Quarterly Report on Form 10-Q filed on May 20, 2026..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Company entered into another exchange agreement with Streeterville, pursuant to which the Company issued 38,655 shares of common stock to Streeterville in exchange for an aggregate of 3.68 outstanding shares of Series Q Preferred Stock held by Streeterville. </w:t>
      </w:r>
    </w:p>
    <w:p>
      <w:pPr>
        <w:pStyle w:val="TextBody"/>
        <w:bidi w:val="0"/>
        <w:spacing w:before="240" w:after="0"/>
        <w:jc w:val="left"/>
        <w:rPr>
          <w:rFonts w:ascii="Times New Roman" w:hAnsi="Times New Roman"/>
          <w:sz w:val="20"/>
        </w:rPr>
      </w:pPr>
      <w:r>
        <w:rPr>
          <w:rFonts w:ascii="Times New Roman" w:hAnsi="Times New Roman"/>
          <w:sz w:val="20"/>
        </w:rPr>
        <w:t xml:space="preserve">Each of the foregoing issuances of securities were not registered under the Securities Act or the securities laws of any state, and unless otherwise specified, in each case the securities were offered and issued in reliance on the exemption from registration under the Securities Act afforded by Section 4(a)(2) thereof or Rule 506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See the Exhibit Index on the page immediately preceding the signature page hereto for a list of exhibits filed as part of this registration statement on Form S-1, which Exhibit Index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No financial statement schedules are provided because the information called for is not required or is shown either in the financial statements or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provided, however, that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5">
              <w:r>
                <w:rPr>
                  <w:rStyle w:val="InternetLink"/>
                </w:rPr>
                <w:t>Agreement and Plan of Merger, dated as of March  31, 2017, by and among Jaguar Health, Inc. (f/k/a Jaguar Animal Health, Inc.), Napo Acquisition Corporation, Napo Pharmaceuticals, Inc. and Gregory Stock (incorporated by reference to Exhibit 2.1 to the Current Report on Form 8-K of Jaguar Health, Inc. filed March 31, 2017,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6">
              <w:r>
                <w:rPr>
                  <w:rStyle w:val="InternetLink"/>
                </w:rPr>
                <w:t>Third Amended and Restated Certificate of Incorporation (incorporated by reference to Exhibit 3.1 to the Current Report on Form 8-K (No. 001—36714) filed with the Securities and Exchange Commission on August 1, 2017).</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7">
              <w:r>
                <w:rPr>
                  <w:rStyle w:val="InternetLink"/>
                </w:rPr>
                <w:t>Certificate of Amendment of the Third Amended and Restated Certificate of Incorporation (incorporated by reference to Exhibit 3.2 to the Annual Report on Form 10-K filed with the Securities and Exchange Commission on April 9,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8">
              <w:r>
                <w:rPr>
                  <w:rStyle w:val="InternetLink"/>
                </w:rPr>
                <w:t>Certificate of Second Amendment of the Third Amended and Restated Certificate of Incorporation (incorporated by reference to Exhibit 3.1 to the Current Report on Form 8-K filed with the Securities and Exchange Commission on June 1,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39">
              <w:r>
                <w:rPr>
                  <w:rStyle w:val="InternetLink"/>
                </w:rPr>
                <w:t>Certificate of Third Amendment of the Third Amended and Restated Certificate of Incorporation (incorporated by reference to Exhibit 3.2 to the Current Report on Form 8-K filed with the Securities and Exchange Commission on June 1, 2018).</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0">
              <w:r>
                <w:rPr>
                  <w:rStyle w:val="InternetLink"/>
                </w:rPr>
                <w:t>Certificate of Fifth Amendment of the Third Amended and Restated Certificate of Incorporation (incorporated by reference to Exhibit 3.1 to the Current Report on Form 8-K filed with the Securities and Exchange Commission on June 6, 2019).</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1">
              <w:r>
                <w:rPr>
                  <w:rStyle w:val="InternetLink"/>
                </w:rPr>
                <w:t>Amended and Restated Bylaws (incorporated by reference to Exhibit 3.2 to the Current Report on Form 8-K (No. 001—36714) filed with the Securities and Exchange Commission on May 18, 2015).</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2">
              <w:r>
                <w:rPr>
                  <w:rStyle w:val="InternetLink"/>
                </w:rPr>
                <w:t>Certificate of Designation of Series C Perpetual Preferred Stock (incorporated by reference to Exhibit 3.1 to the Current Report on Form 8-K (No. 001-036714) filed with the Securities and Exchange Commission on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3">
              <w:r>
                <w:rPr>
                  <w:rStyle w:val="InternetLink"/>
                </w:rPr>
                <w:t>Certificate of Designation of Series D Perpetual Preferred Stock (incorporated by reference to Exhibit 3.2 to the Current Report on Form 8-K (No. 001-036714) filed with the Securities and Exchange Commission on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4">
              <w:r>
                <w:rPr>
                  <w:rStyle w:val="InternetLink"/>
                </w:rPr>
                <w:t>Certificate of Retirement of Series A Convertible Participating Preferred Stock, Series B Convertible Preferred Stock and Series B-1 Convertible Preferred Stock of Jaguar Health, Inc. (incorporated by reference to Exhibit 3.1 to the Current Report on Form 8-K (No. 001-036714) filed with the Securities and Exchange Commission on September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5">
              <w:r>
                <w:rPr>
                  <w:rStyle w:val="InternetLink"/>
                </w:rPr>
                <w:t>Corrected Certificate of Amendment of the Third Amended and Restated Certificate of Incorporation (incorporated by reference to Exhibit 3.1 to the Form 8-K of Jaguar Health, Inc. filed December 10, 2020,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6">
              <w:r>
                <w:rPr>
                  <w:rStyle w:val="InternetLink"/>
                </w:rPr>
                <w:t>Certificate of Fifth Amendment of the Third Amended and Restated Certificate of Incorporation of Jaguar Health, Inc. (incorporated by reference to Exhibit 3.1 to the Form 8-K of Jaguar Health, Inc. filed September 3,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7">
              <w:r>
                <w:rPr>
                  <w:rStyle w:val="InternetLink"/>
                </w:rPr>
                <w:t>First Amendment to the Amended and Restated Bylaws, dated March 17, 2022. (incorporated by reference to Exhibit 3.1 to the Form 8-K of Jaguar Health, Inc. filed March 18,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3.13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48">
              <w:r>
                <w:rPr>
                  <w:rStyle w:val="InternetLink"/>
                </w:rPr>
                <w:t>Certificate of Designation of Series E Preferred Stock. (incorporated by reference to Exhibit 3.1 to the Form 8-K of Jaguar Health, Inc. filed August 23, 2022,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7"/>
        <w:gridCol w:w="776"/>
        <w:gridCol w:w="8582"/>
      </w:tblGrid>
      <w:tr>
        <w:trPr/>
        <w:tc>
          <w:tcPr>
            <w:tcW w:w="847" w:type="dxa"/>
            <w:tcBorders/>
            <w:vAlign w:val="center"/>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8582"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76" w:type="dxa"/>
            <w:tcBorders/>
            <w:vAlign w:val="bottom"/>
          </w:tcPr>
          <w:p>
            <w:pPr>
              <w:pStyle w:val="TableContents"/>
              <w:bidi w:val="0"/>
              <w:spacing w:before="0" w:after="283"/>
              <w:jc w:val="left"/>
              <w:rPr/>
            </w:pPr>
            <w:r>
              <w:rPr/>
              <w:t>  </w:t>
            </w:r>
          </w:p>
        </w:tc>
        <w:tc>
          <w:tcPr>
            <w:tcW w:w="85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49">
              <w:r>
                <w:rPr>
                  <w:rStyle w:val="InternetLink"/>
                </w:rPr>
                <w:t>Certificate of Sixth Amendment of the Third Amended and Restated Certificate of Incorporation of Jaguar Health, Inc. (incorporated by reference to Exhibit 3.1 to the Form 8-K of Jaguar Health, Inc. filed September 30, 2022,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0">
              <w:r>
                <w:rPr>
                  <w:rStyle w:val="InternetLink"/>
                </w:rPr>
                <w:t>Certificate of Designation of Series F Preferred Stock. (incorporated by reference to Exhibit 3.1 to the Form 8-K of Jaguar Health, Inc. filed November 16, 2022,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1">
              <w:r>
                <w:rPr>
                  <w:rStyle w:val="InternetLink"/>
                </w:rPr>
                <w:t>Certificate of Seventh Amendment of the Third Amended and Restated Certificate of Incorporation of Jaguar Health, Inc. (incorporated by reference to Exhibit 3.1 to the Form 8-K of Jaguar Health, Inc. filed January 23,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2">
              <w:r>
                <w:rPr>
                  <w:rStyle w:val="InternetLink"/>
                </w:rPr>
                <w:t>Certificate of Designation of Series G Convertible Preferred Stock. (incorporated by reference to Exhibit 3.1 to the Form 8-K of Jaguar Health, Inc. filed May 9,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3">
              <w:r>
                <w:rPr>
                  <w:rStyle w:val="InternetLink"/>
                </w:rPr>
                <w:t>Certificate of Designation of Series H Convertible Preferred Stock. (incorporated by reference to Exhibit 3.1 to the Form 8-K of Jaguar Health, Inc. filed July 3,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3.19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4">
              <w:r>
                <w:rPr>
                  <w:rStyle w:val="InternetLink"/>
                </w:rPr>
                <w:t>Certificate of Designation of Series I Convertible Preferred Stock. (incorporated by reference to Exhibit 3.1 to the Form 8-K of Jaguar Health, Inc. filed October 5, 2023,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3.20</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5">
              <w:r>
                <w:rPr>
                  <w:rStyle w:val="InternetLink"/>
                </w:rPr>
                <w:t>Certificate of Designation of Series J Convertible Preferred Stock. (incorporated by reference to Exhibit 3.1 to the Form 8-K of Jaguar Health, Inc. filed March 1, 2024,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3.21</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6">
              <w:r>
                <w:rPr>
                  <w:rStyle w:val="InternetLink"/>
                </w:rPr>
                <w:t>Certificate of Eighth Amendment of the Third Amended and Restated Certificate of Incorporation of Jaguar Health, Inc. (incorporated by reference to Exhibit 3.1 to the Form 8-K of Jaguar Health, Inc. filed May 23, 2024,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3.22</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7">
              <w:r>
                <w:rPr>
                  <w:rStyle w:val="InternetLink"/>
                </w:rPr>
                <w:t>Certificate of Designation of Series K Junior Participating Preferred Stock. (incorporated by reference to Exhibit 3.1 to the Form 8-K of Jaguar Health, Inc. filed February 27,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3.23</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8">
              <w:r>
                <w:rPr>
                  <w:rStyle w:val="InternetLink"/>
                </w:rPr>
                <w:t>Certificate of Ninth Amendment of the Third Amended and Restated Certificate of Incorporation of Jaguar Health, Inc. (incorporated by reference to Exhibit 3.1 to the Form 8-K of Jaguar Health, Inc. filed March 18,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3.24</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59">
              <w:r>
                <w:rPr>
                  <w:rStyle w:val="InternetLink"/>
                </w:rPr>
                <w:t>Certificate of Designation of Preferences, Rights and Limitations of Series L Perpetual Preferred Stock of Jaguar Health, Inc. (incorporated by reference to Exhibit 3.1 to the Form 8-K filed May 15,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3.25</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0">
              <w:r>
                <w:rPr>
                  <w:rStyle w:val="InternetLink"/>
                </w:rPr>
                <w:t>Certificate of Designation of Preferences, Rights and Limitations of Series M Perpetual Preferred Stock of Jaguar Health, Inc. (incorporated by reference to Exhibit 3.1 to the Form 8-K filed June 30,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3.26</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1">
              <w:r>
                <w:rPr>
                  <w:rStyle w:val="InternetLink"/>
                </w:rPr>
                <w:t>Certificate of Designation of Preferences, Rights and Limitations of Series N Perpetual Preferred Stock of Jaguar Health, Inc. (incorporated by reference to Exhibit 3.1 to the Form 8-K filed September 11, 2025,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3.27</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2">
              <w:r>
                <w:rPr>
                  <w:rStyle w:val="InternetLink"/>
                </w:rPr>
                <w:t>Certificate of Designation of Preferences, Rights and Limitations of Series O Convertible Preferred Stock of Jaguar Health, Inc. (incorporated by reference to Exhibit 3.1 to the Form 8-K filed March 3, 2026,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3.28</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3">
              <w:r>
                <w:rPr>
                  <w:rStyle w:val="InternetLink"/>
                </w:rPr>
                <w:t xml:space="preserve">Certificate of Tenth Amendment of the Third Amended and Restated Certificate of Incorporation of Jaguar Health, Inc. (incorporated by reference to Exhibit 3.1 to the Form 8-K filed April 21, 2026, File No. 001-36714).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3.29</w:t>
            </w:r>
          </w:p>
        </w:tc>
        <w:tc>
          <w:tcPr>
            <w:tcW w:w="776" w:type="dxa"/>
            <w:tcBorders/>
            <w:vAlign w:val="bottom"/>
          </w:tcPr>
          <w:p>
            <w:pPr>
              <w:pStyle w:val="TableContents"/>
              <w:bidi w:val="0"/>
              <w:spacing w:before="0" w:after="283"/>
              <w:jc w:val="left"/>
              <w:rPr/>
            </w:pPr>
            <w:r>
              <w:rPr/>
              <w:t>  </w:t>
            </w:r>
          </w:p>
        </w:tc>
        <w:tc>
          <w:tcPr>
            <w:tcW w:w="8582" w:type="dxa"/>
            <w:tcBorders/>
          </w:tcPr>
          <w:p>
            <w:pPr>
              <w:pStyle w:val="TableContents"/>
              <w:bidi w:val="0"/>
              <w:spacing w:before="0" w:after="283"/>
              <w:jc w:val="left"/>
              <w:rPr/>
            </w:pPr>
            <w:hyperlink r:id="rId64">
              <w:r>
                <w:rPr>
                  <w:rStyle w:val="InternetLink"/>
                </w:rPr>
                <w:t xml:space="preserve">Certificate of Eleventh Amendment of the Third Amended and Restated Certificate of Incorporation of Jaguar Health, Inc. (incorporated by reference to Exhibit 3.1 to the Form 8-K filed April 27, 2026,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1"/>
        <w:gridCol w:w="763"/>
        <w:gridCol w:w="8591"/>
      </w:tblGrid>
      <w:tr>
        <w:trPr/>
        <w:tc>
          <w:tcPr>
            <w:tcW w:w="851" w:type="dxa"/>
            <w:tcBorders/>
            <w:vAlign w:val="center"/>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8591" w:type="dxa"/>
            <w:tcBorders/>
            <w:vAlign w:val="center"/>
          </w:tcPr>
          <w:p>
            <w:pPr>
              <w:pStyle w:val="TableContents"/>
              <w:bidi w:val="0"/>
              <w:spacing w:before="0" w:after="283"/>
              <w:jc w:val="left"/>
              <w:rPr>
                <w:sz w:val="4"/>
                <w:szCs w:val="4"/>
              </w:rPr>
            </w:pPr>
            <w:r>
              <w:rPr>
                <w:sz w:val="4"/>
                <w:szCs w:val="4"/>
              </w:rPr>
            </w:r>
          </w:p>
        </w:tc>
      </w:tr>
      <w:tr>
        <w:trPr/>
        <w:tc>
          <w:tcPr>
            <w:tcW w:w="8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3" w:type="dxa"/>
            <w:tcBorders/>
            <w:vAlign w:val="bottom"/>
          </w:tcPr>
          <w:p>
            <w:pPr>
              <w:pStyle w:val="TableContents"/>
              <w:bidi w:val="0"/>
              <w:spacing w:before="0" w:after="283"/>
              <w:jc w:val="left"/>
              <w:rPr/>
            </w:pPr>
            <w:r>
              <w:rPr/>
              <w:t>  </w:t>
            </w:r>
          </w:p>
        </w:tc>
        <w:tc>
          <w:tcPr>
            <w:tcW w:w="85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5">
              <w:r>
                <w:rPr>
                  <w:rStyle w:val="InternetLink"/>
                </w:rPr>
                <w:t xml:space="preserve">Certificate of Designation of Preferences, Rights and Limitations of Series Q Perpetual Preferred Stock (incorporated by reference to Exhibit 3.1 to the Form 8-K filed May 19,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3.31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6">
              <w:r>
                <w:rPr>
                  <w:rStyle w:val="InternetLink"/>
                </w:rPr>
                <w:t xml:space="preserve">Certificate of Designation of Preferences, Rights and Limitations of Series P Non-Convertible Preferred Stock (incorporated by reference to Exhibit 3.1 to the Form 8-K filed June 11, 2026, File No. 001-36714). </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7">
              <w:r>
                <w:rPr>
                  <w:rStyle w:val="InternetLink"/>
                </w:rPr>
                <w:t>Specimen Non—Voting Common Stock Certificate of Jaguar Health, Inc. (incorporated by reference to Exhibit 4.1 to the Form 8—K of Jaguar Health, Inc. filed August 1, 2017,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8">
              <w:r>
                <w:rPr>
                  <w:rStyle w:val="InternetLink"/>
                </w:rPr>
                <w:t>Common Stock Warrant, dated August  28, 2018, by and between Jaguar Health, Inc. and the holder named therein (incorporated by reference to Ex. 4.1 to the Current Report on Form 8—K filed on September 4,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69">
              <w:r>
                <w:rPr>
                  <w:rStyle w:val="InternetLink"/>
                </w:rPr>
                <w:t>Common Stock Warrant, dated September  11, 2018, by and between Jaguar Health, Inc. and L2 Capital, LLC (incorporated by reference to Ex. 4.3 to the Current Report on Form 8—K filed on September 12,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0">
              <w:r>
                <w:rPr>
                  <w:rStyle w:val="InternetLink"/>
                </w:rPr>
                <w:t>Common Stock Warrant, dated September  11, 2018, by and between Jaguar Health, Inc. and Charles Conte (incorporated by reference to Ex. 4.4 to the Current Report on Form 8—K filed on September 12,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1">
              <w:r>
                <w:rPr>
                  <w:rStyle w:val="InternetLink"/>
                </w:rPr>
                <w:t>Form of Pre-Funded Warrant (incorporated by reference to Exhibit 4.6 to the Registration Statement on Form S—1 (No. 333—227292) filed with the Securities and Exchange Commission on October 1, 2018).</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4.6</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2">
              <w:r>
                <w:rPr>
                  <w:rStyle w:val="InternetLink"/>
                </w:rPr>
                <w:t>Form of Common Stock Warrant (incorporated by reference to Exhibit 4.3 to the Form 8-K of Jaguar Health, Inc. filed March 22, 2019).</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4.7</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3">
              <w:r>
                <w:rPr>
                  <w:rStyle w:val="InternetLink"/>
                </w:rPr>
                <w:t>Form of Placement Agent Warrant (incorporated by reference to Exhibit 4.1 to the Form 8-K/A of Jaguar Health, Inc. filed March 26, 2019).</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4.8</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4">
              <w:r>
                <w:rPr>
                  <w:rStyle w:val="InternetLink"/>
                </w:rPr>
                <w:t>Form of LOC Common Stock Warrant (incorporated by reference to Exhibit 4.1 to the Form 8-K of Jaguar Health, Inc. filed April 4,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4.9</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5">
              <w:r>
                <w:rPr>
                  <w:rStyle w:val="InternetLink"/>
                </w:rPr>
                <w:t>Specimen Common Stock Certificate of Jaguar Health, Inc. (incorporated by reference to Exhibit 4.1 to the Form 8—K of Jaguar Health, Inc. filed June 1, 2018,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4.10</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6">
              <w:r>
                <w:rPr>
                  <w:rStyle w:val="InternetLink"/>
                </w:rPr>
                <w:t>Form of Series 1 Warrant (incorporated by reference to Exhibit 4.1 to the Form 8-K of Jaguar Health, Inc. filed July 23,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4.11</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7">
              <w:r>
                <w:rPr>
                  <w:rStyle w:val="InternetLink"/>
                </w:rPr>
                <w:t>Form of Series 2 Warrant (incorporated by reference to Exhibit 4.2 to the Form 8-K of Jaguar Health, Inc. filed July 23,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4.12</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8">
              <w:r>
                <w:rPr>
                  <w:rStyle w:val="InternetLink"/>
                </w:rPr>
                <w:t>Promissory Note, dated October  1, 2019, between Napo Pharmaceuticals, Inc. and Michael Tempesta (incorporated by reference to Exhibit 4.1 to the Form 8-K of Jaguar Health, Inc. filed October  7,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4.13</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79">
              <w:r>
                <w:rPr>
                  <w:rStyle w:val="InternetLink"/>
                </w:rPr>
                <w:t>Form of Pre-Funded Common Stock Purchase Warrant (incorporated by reference to Exhibit 4.1 to the Form 8-K of Jaguar Health, Inc. filed November 14,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4.14</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0">
              <w:r>
                <w:rPr>
                  <w:rStyle w:val="InternetLink"/>
                </w:rPr>
                <w:t>Form of Common Stock Purchase Warrant (incorporated by reference to Exhibit 4.1 to the Form 8-K of Jaguar Health, Inc. filed December 26, 2019, File No. 001-36714).</w:t>
              </w:r>
            </w:hyperlink>
          </w:p>
        </w:tc>
      </w:tr>
      <w:tr>
        <w:trPr>
          <w:trHeight w:val="120" w:hRule="atLeast"/>
        </w:trPr>
        <w:tc>
          <w:tcPr>
            <w:tcW w:w="851" w:type="dxa"/>
            <w:tcBorders/>
            <w:vAlign w:val="center"/>
          </w:tcPr>
          <w:p>
            <w:pPr>
              <w:pStyle w:val="TableContents"/>
              <w:bidi w:val="0"/>
              <w:spacing w:before="0" w:after="283"/>
              <w:jc w:val="left"/>
              <w:rPr>
                <w:sz w:val="4"/>
                <w:szCs w:val="4"/>
              </w:rPr>
            </w:pPr>
            <w:r>
              <w:rPr>
                <w:sz w:val="4"/>
                <w:szCs w:val="4"/>
              </w:rPr>
            </w:r>
          </w:p>
        </w:tc>
        <w:tc>
          <w:tcPr>
            <w:tcW w:w="9354"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4.15</w:t>
            </w:r>
          </w:p>
        </w:tc>
        <w:tc>
          <w:tcPr>
            <w:tcW w:w="763" w:type="dxa"/>
            <w:tcBorders/>
            <w:vAlign w:val="bottom"/>
          </w:tcPr>
          <w:p>
            <w:pPr>
              <w:pStyle w:val="TableContents"/>
              <w:bidi w:val="0"/>
              <w:spacing w:before="0" w:after="283"/>
              <w:jc w:val="left"/>
              <w:rPr/>
            </w:pPr>
            <w:r>
              <w:rPr/>
              <w:t>  </w:t>
            </w:r>
          </w:p>
        </w:tc>
        <w:tc>
          <w:tcPr>
            <w:tcW w:w="8591" w:type="dxa"/>
            <w:tcBorders/>
          </w:tcPr>
          <w:p>
            <w:pPr>
              <w:pStyle w:val="TableContents"/>
              <w:bidi w:val="0"/>
              <w:spacing w:before="0" w:after="283"/>
              <w:jc w:val="left"/>
              <w:rPr/>
            </w:pPr>
            <w:hyperlink r:id="rId81">
              <w:r>
                <w:rPr>
                  <w:rStyle w:val="InternetLink"/>
                </w:rPr>
                <w:t>Royalty Interest, dated March  4, 2020, by and between the Company and Iliad Research and Trading L.P. (incorporated by reference to Exhibit 4.1 to the Form 8-K of Jaguar Health, Inc. filed March 6,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2">
              <w:r>
                <w:rPr>
                  <w:rStyle w:val="InternetLink"/>
                </w:rPr>
                <w:t>Description of the Registrant’s Securities Registered Pursuant to Section  12 of the Securities Exchange Act of 1945, as amended (incorporated herein by reference to Exhibit 4.26 to the Annual Report on Form 10—K filed on April 3,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3">
              <w:r>
                <w:rPr>
                  <w:rStyle w:val="InternetLink"/>
                </w:rPr>
                <w:t>Form of Series 3 Common Stock Purchase Warrant (incorporated by reference to Exhibit 4.1 to the Form 8-K of Jaguar health, Inc. filed May 22,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4">
              <w:r>
                <w:rPr>
                  <w:rStyle w:val="InternetLink"/>
                </w:rPr>
                <w:t>Global Amendment, dated September  1, 2020, by and among Jaguar Health, Inc., Napo Pharmaceuticals, Inc. and Chicago Ventures,</w:t>
              </w:r>
            </w:hyperlink>
            <w:r>
              <w:rPr/>
              <w:t xml:space="preserve"> </w:t>
            </w:r>
            <w:hyperlink r:id="rId85">
              <w:r>
                <w:rPr>
                  <w:rStyle w:val="InternetLink"/>
                </w:rPr>
                <w:t>L.P. (incorporated by reference to Exhibit 4.1 to the Form 8-K of Jaguar health, Inc. filed September 2,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4.19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6">
              <w:r>
                <w:rPr>
                  <w:rStyle w:val="InternetLink"/>
                </w:rPr>
                <w:t>Royalty Interest, dated October  8, 2020, by and between Jaguar Health, Inc. and Iliad Research and Trading, L.P. (incorporated by reference to Exhibit 4.1 to the Form 8-K of Jaguar Health, Inc. filed October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7">
              <w:r>
                <w:rPr>
                  <w:rStyle w:val="InternetLink"/>
                </w:rPr>
                <w:t>Form of Pre-Funded Common Stock Purchase Warrant (incorporated by reference to Exhibit 4.1 to the Form 8-K of Jaguar health, Inc. filed October 9, 2020).</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8">
              <w:r>
                <w:rPr>
                  <w:rStyle w:val="InternetLink"/>
                </w:rPr>
                <w:t>Royalty Interest, dated December  22, 2020, by and between Jaguar Health, Inc. and Irving Park Capital, LLC (incorporated by reference to Exhibit 4.1 to the Form 8-K filed December 29, 2020,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89">
              <w:r>
                <w:rPr>
                  <w:rStyle w:val="InternetLink"/>
                </w:rPr>
                <w:t>Secured Promissory Note, dated January  19, 2021, by and among Jaguar Health, Inc., Napo Pharmaceuticals, Inc. and Streeterville Capital, LLC (incorporated by reference to Exhibit 4.1 to the Form 8-K filed January 22,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0">
              <w:r>
                <w:rPr>
                  <w:rStyle w:val="InternetLink"/>
                </w:rPr>
                <w:t>Common Stock Purchase Warrant, dated April  7, 2021, by and between Jaguar Health, Inc. and Oasis Capital, LLC (incorporated by reference to Exhibit 4.1 to the Form 8-K of Jaguar Health, Inc. filed April  8, 2021,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1">
              <w:r>
                <w:rPr>
                  <w:rStyle w:val="InternetLink"/>
                </w:rPr>
                <w:t>Global Amendment, dated April  14, 2022, by and between Jaguar Health, Inc. and Iliad Research and Trading, L.P. (incorporated by reference to Exhibit 4.1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2">
              <w:r>
                <w:rPr>
                  <w:rStyle w:val="InternetLink"/>
                </w:rPr>
                <w:t>Global Amendment, dated April  14, 2022, by and between Jaguar Health, Inc. and Uptown Capital, LLC (incorporated by reference to Exhibit 4.2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3">
              <w:r>
                <w:rPr>
                  <w:rStyle w:val="InternetLink"/>
                </w:rPr>
                <w:t>Global Amendment, dated April  14, 2022, by and between Jaguar Health, Inc. and Streeterville Capital, LLC (incorporated by reference to Exhibit 4.3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4">
              <w:r>
                <w:rPr>
                  <w:rStyle w:val="InternetLink"/>
                </w:rPr>
                <w:t>Global Amendment, dated April  14, 2022, by and among Jaguar Health, Inc., Napo Pharmaceuticals, Inc. and Streeterville Capital, LLC (incorporated by reference to Exhibit 4.4 to the Form 8-K of Jaguar Health, Inc. filed April  15,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5">
              <w:r>
                <w:rPr>
                  <w:rStyle w:val="InternetLink"/>
                </w:rPr>
                <w:t>Royalty Interest, dated August  24, 2022, by and between Jaguar Health, Inc. and Streeterville Capital, LLC. (incorporated by reference to Exhibit 4.1 to the Form 8-K of Jaguar Health, Inc. filed August 30, 2022,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4.29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6">
              <w:r>
                <w:rPr>
                  <w:rStyle w:val="InternetLink"/>
                </w:rPr>
                <w:t>Form of Common Stock Purchase Warrant (incorporated by reference to Exhibit 4.1 to the Form 8-K of Jaguar Health, Inc. filed May 9,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7">
              <w:r>
                <w:rPr>
                  <w:rStyle w:val="InternetLink"/>
                </w:rPr>
                <w:t>Global Amendment No. 2, dated September  29, 2023, by and between Jaguar Health, Inc. and Iliad Research and Trading, L.P. (incorporated by reference to Exhibit 4.1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8">
              <w:r>
                <w:rPr>
                  <w:rStyle w:val="InternetLink"/>
                </w:rPr>
                <w:t>Global Amendment No. 2, dated September  29, 2023, by and between Jaguar Health, Inc. and Uptown Capital, LLC (incorporated by reference to Exhibit 4.2 to the Form 8-K of Jaguar Health, Inc. filed October 5, 2023,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99">
              <w:r>
                <w:rPr>
                  <w:rStyle w:val="InternetLink"/>
                </w:rPr>
                <w:t>Global Amendment, dated September  29, 2023, by and between Jaguar Health, Inc. and Streeterville Capital, LLC (incorporated by reference to Exhibit 4.3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0">
              <w:r>
                <w:rPr>
                  <w:rStyle w:val="InternetLink"/>
                </w:rPr>
                <w:t>Global Amendment No. 2, dated September  29, 2023, by and between Jaguar Health, Inc. and Streeterville Capital, LLC (incorporated by reference to Exhibit 4.4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1">
              <w:r>
                <w:rPr>
                  <w:rStyle w:val="InternetLink"/>
                </w:rPr>
                <w:t>Form of Common Stock Purchase Warrant (incorporated by reference to Exhibit 4.5 to the Form 8-K of Jaguar Health, Inc. filed October 5, 2023,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2">
              <w:r>
                <w:rPr>
                  <w:rStyle w:val="InternetLink"/>
                </w:rPr>
                <w:t>Amendment to the Secured Promissory Note, dated January  29, 2025, by and among Jaguar Health, Inc., Napo Pharmaceuticals, Inc. and Streeterville Capital, LLC (incorporated by reference to Exhibit 4.1 to the Form 8-K filed February 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3">
              <w:r>
                <w:rPr>
                  <w:rStyle w:val="InternetLink"/>
                </w:rPr>
                <w:t>Note Amendment, dated February  13, 2025, by and among Jaguar Health, Inc., Napo Pharmaceuticals, Inc. and Streeterville Capital, LLC (incorporated by reference to Exhibit 4.1 to the Form 8-K filed February 20,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4">
              <w:r>
                <w:rPr>
                  <w:rStyle w:val="InternetLink"/>
                </w:rPr>
                <w:t>Rights Agreement, dated as of February  26, 2025, between Jaguar Health, Inc. and Equiniti Trust Company, LLC, as Rights Agent (incorporated by reference to Exhibit 4.1 to the Form 8-K filed February  27,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5">
              <w:r>
                <w:rPr>
                  <w:rStyle w:val="InternetLink"/>
                </w:rPr>
                <w:t>Form of Convertible Promissory Note (incorporated by reference to Exhibit 4.1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4.39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6">
              <w:r>
                <w:rPr>
                  <w:rStyle w:val="InternetLink"/>
                </w:rPr>
                <w:t>Form of Common Stock Warrant (incorporated by reference to Exhibit 4.2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7">
              <w:r>
                <w:rPr>
                  <w:rStyle w:val="InternetLink"/>
                </w:rPr>
                <w:t>Form of Placement Agent Warrant (incorporated by reference to Exhibit 4.3 to the Form 8-K filed March 26,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8">
              <w:r>
                <w:rPr>
                  <w:rStyle w:val="InternetLink"/>
                </w:rPr>
                <w:t>Form of Common Stock Purchase Warrant (incorporated by reference to Exhibit 4.1 to the Form 8-K filed May 22,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09">
              <w:r>
                <w:rPr>
                  <w:rStyle w:val="InternetLink"/>
                </w:rPr>
                <w:t>Form of Wainwright Warrant (incorporated by reference to Exhibit 4.2 to the Form 8-K filed May  22,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0">
              <w:r>
                <w:rPr>
                  <w:rStyle w:val="InternetLink"/>
                </w:rPr>
                <w:t>Form of Replacement Note (incorporated by reference to Exhibit 4.1 to the Form 8-K filed June  24,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1">
              <w:r>
                <w:rPr>
                  <w:rStyle w:val="InternetLink"/>
                </w:rPr>
                <w:t>Form of New Warrant (incorporated by reference to Exhibit 4.2 to the Form 8-K filed June  24,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2">
              <w:r>
                <w:rPr>
                  <w:rStyle w:val="InternetLink"/>
                </w:rPr>
                <w:t>Pre-Funded Warrant, dated September  28, 2025, by and between Jaguar Health, Inc. and Brown Stone Capital Limited (incorporated by reference to Exhibit 4.1 to the Form 8-K filed October 11,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3">
              <w:r>
                <w:rPr>
                  <w:rStyle w:val="InternetLink"/>
                </w:rPr>
                <w:t>Secured Promissory Note, dated November  12, 2025, issued by Jaguar Health, Inc. to Streeterville Capital, LLC (incorporated by reference to Exhibit 4.1 to the Form 8-K filed November 14,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4">
              <w:r>
                <w:rPr>
                  <w:rStyle w:val="InternetLink"/>
                </w:rPr>
                <w:t>Global Amendment dated November  17, 2025, by and between Jaguar Health, Inc. and Iliad Research and Trading, L.P. (incorporated by reference to Exhibit 4.1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5">
              <w:r>
                <w:rPr>
                  <w:rStyle w:val="InternetLink"/>
                </w:rPr>
                <w:t>Global Amendment dated November  17, 2025, by and between Jaguar Health, Inc. and Uptown Capital, LLC (incorporated by reference to Exhibit 4.2 to the Form 8-K filed November 19, 2025,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9"/>
        <w:gridCol w:w="764"/>
        <w:gridCol w:w="8592"/>
      </w:tblGrid>
      <w:tr>
        <w:trPr/>
        <w:tc>
          <w:tcPr>
            <w:tcW w:w="849" w:type="dxa"/>
            <w:tcBorders/>
            <w:vAlign w:val="center"/>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64" w:type="dxa"/>
            <w:tcBorders/>
            <w:vAlign w:val="bottom"/>
          </w:tcPr>
          <w:p>
            <w:pPr>
              <w:pStyle w:val="TableContents"/>
              <w:bidi w:val="0"/>
              <w:spacing w:before="0" w:after="283"/>
              <w:jc w:val="left"/>
              <w:rPr/>
            </w:pPr>
            <w:r>
              <w:rPr/>
              <w:t>  </w:t>
            </w:r>
          </w:p>
        </w:tc>
        <w:tc>
          <w:tcPr>
            <w:tcW w:w="8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4.49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6">
              <w:r>
                <w:rPr>
                  <w:rStyle w:val="InternetLink"/>
                </w:rPr>
                <w:t>Global Amendment dated November  17, 2025, by and between Jaguar Health, Inc. and Streeterville Capital, LLC (incorporated by reference to Exhibit 4.3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7">
              <w:r>
                <w:rPr>
                  <w:rStyle w:val="InternetLink"/>
                </w:rPr>
                <w:t>Note Amendment dated November  17, 2025, by and between Jaguar Health, Inc. and Streeterville Capital, LLC (incorporated by reference to Exhibit 4.4 to the Form 8-K filed November 19, 2025,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8">
              <w:r>
                <w:rPr>
                  <w:rStyle w:val="InternetLink"/>
                </w:rPr>
                <w:t xml:space="preserve">First Pre-Funded Warrant, dated December 9, 2025 (incorporated by reference to Exhibit  4.51 to the Form 10-K filed on April 7,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19">
              <w:r>
                <w:rPr>
                  <w:rStyle w:val="InternetLink"/>
                </w:rPr>
                <w:t xml:space="preserve">Second Pre-Funded Warrant, dated December 11, 2025 (incorporated by reference to Exhibit  4.52 to the Form 10-K filed April 7,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0">
              <w:r>
                <w:rPr>
                  <w:rStyle w:val="InternetLink"/>
                </w:rPr>
                <w:t>Form of Unsecured Promissory Note (incorporated by reference to Exhibit 4.1 to the Form 8-K/A filed January 12,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1">
              <w:r>
                <w:rPr>
                  <w:rStyle w:val="InternetLink"/>
                </w:rPr>
                <w:t>Form of Common Stock Warrant (incorporated by reference to Exhibit 4.2 to the Form 8-K/A filed January 12,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4.55</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2">
              <w:r>
                <w:rPr>
                  <w:rStyle w:val="InternetLink"/>
                </w:rPr>
                <w:t>Form of the Pre-Funded Warrant (incorporated by reference to Exhibit 4.1 to the Form 8-K filed January 23,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4.56</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3">
              <w:r>
                <w:rPr>
                  <w:rStyle w:val="InternetLink"/>
                </w:rPr>
                <w:t>Form of Pre-Funded Warrant (incorporated by reference to Exhibit 4.1 to the Form 8-K filed February 18,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4.57</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4">
              <w:r>
                <w:rPr>
                  <w:rStyle w:val="InternetLink"/>
                </w:rPr>
                <w:t>Global Amendment No. 4 dated March  6, 2026, by and between Jaguar Health, Inc. and Uptown Capital, LLC (incorporated by reference to Exhibit 4.1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4.58</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5">
              <w:r>
                <w:rPr>
                  <w:rStyle w:val="InternetLink"/>
                </w:rPr>
                <w:t>Global Amendment No. 4 dated March  6, 2026, by and between Jaguar Health, Inc. and Streeterville Capital, LLC (incorporated by reference to Exhibit 4.2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4.59</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6">
              <w:r>
                <w:rPr>
                  <w:rStyle w:val="InternetLink"/>
                </w:rPr>
                <w:t>Amendment to the 2021 Note, dated March  6, 2026, by and among Jaguar Health, Inc., Napo Pharmaceuticals, Inc. and Streeterville Capital, LLC (incorporated by reference to Exhibit 4.3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4.60</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7">
              <w:r>
                <w:rPr>
                  <w:rStyle w:val="InternetLink"/>
                </w:rPr>
                <w:t>Amendment to the 2025 Note, dated March  6, 2026, by and between Jaguar Health, Inc. and Streeterville Capital, LLC (incorporated by reference to Exhibit 4.4 to the Form 8-K filed March 9,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8">
              <w:r>
                <w:rPr>
                  <w:rStyle w:val="InternetLink"/>
                </w:rPr>
                <w:t xml:space="preserve">Form of the Commencement Pre-Funded Warrant (incorporated by reference to Exhibit 4.1 to the Form 8-K filed June 11,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4.62</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29">
              <w:r>
                <w:rPr>
                  <w:rStyle w:val="InternetLink"/>
                </w:rPr>
                <w:t xml:space="preserve">Global Amendment No. 5, dated June 17, 2026, by and between Jaguar Health, Inc. and Uptown Capital, LLC (incorporated by reference to Exhibit 4.1 to the Form 8-K filed June 18,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4.63</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0">
              <w:r>
                <w:rPr>
                  <w:rStyle w:val="InternetLink"/>
                </w:rPr>
                <w:t>Global Amendment No. 5, dated June 17, 2026, by and between Jaguar Health, Inc. and Streeterville Capital, LLC (incorporated by reference to Exhibit 4.2 to the Form 8-K filed June 18, 2026, File No. 001-36714).</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4.64</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r:id="rId131">
              <w:r>
                <w:rPr>
                  <w:rStyle w:val="InternetLink"/>
                </w:rPr>
                <w:t xml:space="preserve">Amendment to the 2021 Note, dated June 17, 2026, by and among Jaguar Health, Inc., Napo Pharmaceuticals, Inc. and Streeterville Capital, LLC (incorporated by reference to Exhibit 4.3 to the Form 8-K filed June 18, 2026, File No. 001-36714).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5.1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hyperlink w:anchor="d47881dex51.htm">
              <w:r>
                <w:rPr>
                  <w:rStyle w:val="InternetLink"/>
                </w:rPr>
                <w:t xml:space="preserve">*Opinion of Reed Smith LLP </w:t>
              </w:r>
            </w:hyperlink>
          </w:p>
        </w:tc>
      </w:tr>
      <w:tr>
        <w:trPr>
          <w:trHeight w:val="120" w:hRule="atLeast"/>
        </w:trPr>
        <w:tc>
          <w:tcPr>
            <w:tcW w:w="849" w:type="dxa"/>
            <w:tcBorders/>
            <w:vAlign w:val="center"/>
          </w:tcPr>
          <w:p>
            <w:pPr>
              <w:pStyle w:val="TableContents"/>
              <w:bidi w:val="0"/>
              <w:spacing w:before="0" w:after="283"/>
              <w:jc w:val="left"/>
              <w:rPr>
                <w:sz w:val="4"/>
                <w:szCs w:val="4"/>
              </w:rPr>
            </w:pPr>
            <w:r>
              <w:rPr>
                <w:sz w:val="4"/>
                <w:szCs w:val="4"/>
              </w:rPr>
            </w:r>
          </w:p>
        </w:tc>
        <w:tc>
          <w:tcPr>
            <w:tcW w:w="9356" w:type="dxa"/>
            <w:gridSpan w:val="2"/>
            <w:tcBorders/>
            <w:vAlign w:val="center"/>
          </w:tcPr>
          <w:p>
            <w:pPr>
              <w:pStyle w:val="TableContents"/>
              <w:bidi w:val="0"/>
              <w:spacing w:before="0" w:after="283"/>
              <w:jc w:val="left"/>
              <w:rPr>
                <w:sz w:val="4"/>
                <w:szCs w:val="4"/>
              </w:rPr>
            </w:pPr>
            <w:r>
              <w:rPr>
                <w:sz w:val="4"/>
                <w:szCs w:val="4"/>
              </w:rPr>
            </w:r>
          </w:p>
        </w:tc>
      </w:tr>
      <w:tr>
        <w:trPr/>
        <w:tc>
          <w:tcPr>
            <w:tcW w:w="849" w:type="dxa"/>
            <w:tcBorders/>
          </w:tcPr>
          <w:p>
            <w:pPr>
              <w:pStyle w:val="TableContents"/>
              <w:bidi w:val="0"/>
              <w:spacing w:before="0" w:after="283"/>
              <w:jc w:val="left"/>
              <w:rPr/>
            </w:pPr>
            <w:r>
              <w:rPr/>
              <w:t>10.1</w:t>
            </w:r>
          </w:p>
        </w:tc>
        <w:tc>
          <w:tcPr>
            <w:tcW w:w="76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w:t>
            </w:r>
            <w:hyperlink r:id="rId132">
              <w:r>
                <w:rPr>
                  <w:rStyle w:val="InternetLink"/>
                </w:rPr>
                <w:t>Form of Indemnification Agreement by and between Jaguar Health, Inc. and its directors and officers (incorporated by reference to Exhibit 10.1 to the Registration Statement on Form S—1 (No. 333—198383) filed with the Securities and Exchange Commission on August 27, 2014).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3">
              <w:r>
                <w:rPr>
                  <w:rStyle w:val="InternetLink"/>
                </w:rPr>
                <w:t>Form of Notice of Grant of Stock Option and Stock Option Agreement under the 2014 Stock Incentive Plan (incorporated by reference to Exhibit 10.6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4">
              <w:r>
                <w:rPr>
                  <w:rStyle w:val="InternetLink"/>
                </w:rPr>
                <w:t>Form of Notice of Grant of Restricted Stock and Restricted Stock Agreement under the 2014 Stock Incentive Plan (incorporated by reference to Exhibit 10.7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5">
              <w:r>
                <w:rPr>
                  <w:rStyle w:val="InternetLink"/>
                </w:rPr>
                <w:t>Form of Notice of Grant of Restricted Stock Units and Restricted Stock Unit Agreement under the 2014 Stock Incentive Plan (incorporated by reference to Exhibit 10.8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6">
              <w:r>
                <w:rPr>
                  <w:rStyle w:val="InternetLink"/>
                </w:rPr>
                <w:t>Offer Letter by and between Jaguar Health, Inc. and Lisa A. Conte, dated March  1, 2014 (incorporated by reference to Exhibit 10.9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7">
              <w:r>
                <w:rPr>
                  <w:rStyle w:val="InternetLink"/>
                </w:rPr>
                <w:t>Offer Letter by and between Jaguar Health, Inc. and Steven R. King, Ph.D., dated February  28, 2014 (incorporated by reference to Exhibit 10.11 to the Registration Statement on Form S—1 (No. 333—198383) filed with the Securities and Exchange Commission on August 27, 2014).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38">
              <w:r>
                <w:rPr>
                  <w:rStyle w:val="InternetLink"/>
                </w:rPr>
                <w:t>Formulation Development and Manufacturing Agreement between Jaguar Health, Inc. and Patheon Pharmaceuticals Inc., dated October 8, 2015 (incorporated by reference to Exhibit 10.30 to the Registration Statement on Form S—1 (No. 333—208905) filed with the Securities and Exchange Commission on January 7, 2016).</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39">
              <w:r>
                <w:rPr>
                  <w:rStyle w:val="InternetLink"/>
                </w:rPr>
                <w:t>Common Stock Warrant issued pursuant to the Letter Agreement, dated November  8, 2016, between Jaguar Health, Inc. and Serious Change II LP, which expires July 28, 2022 (incorporated herein by reference to Exhibit 10.2 to the Quarterly Report on Form 10—Q (No. 001—36714) filed on November 14, 2016).</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0">
              <w:r>
                <w:rPr>
                  <w:rStyle w:val="InternetLink"/>
                </w:rPr>
                <w:t xml:space="preserve">Distribution Agreement, dated December  9, 2016, by and between Jaguar Health, Inc. and Henry Schein, Inc. (incorporated herein by reference to Exhibit 10.41 to the Annual Report on Form 10—K filed on February 15, 2017).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41">
              <w:r>
                <w:rPr>
                  <w:rStyle w:val="InternetLink"/>
                </w:rPr>
                <w:t>Alliance Agreement, dated May  23, 2005, by and among AsiaPharm Investment Limited and its Affiliates, including Shandong Luye Pharmaceuticals Co. Ltd., and Napo Pharmaceuticals, Inc. (incorporated herein by reference to Exhibit 10.61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2">
              <w:r>
                <w:rPr>
                  <w:rStyle w:val="InternetLink"/>
                </w:rPr>
                <w:t>Finder’s Agreement, dated April  9, 2010, by and among Luye Pharma Group Limited and its Affiliates, including Shandong Luye Pharmaceuticals Co. Ltd., and Napo Pharmaceuticals, Inc. (incorporated herein by reference to Exhibit 10.62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3">
              <w:r>
                <w:rPr>
                  <w:rStyle w:val="InternetLink"/>
                </w:rPr>
                <w:t>License Agreement, dated February  28, 2007, by and between Insmed Incorporated and Napo Pharmaceuticals, Inc. (incorporated herein by reference to Exhibit 10.77 to the Registration Statement on Form S—4/A filed May 26, 2017 (No. 333—217364)).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10.13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44">
              <w:r>
                <w:rPr>
                  <w:rStyle w:val="InternetLink"/>
                </w:rPr>
                <w:t>Amendment, Waiver &amp; Consent, dated June  27, 2017, by and among Jaguar Health, Inc., Nantucket Investments Limited, and Napo Pharmaceuticals, Inc. (incorporated by reference to Ex. 10.83 of the Company’s Registration Statement on Form S—4 (Registration No.  333—217364) filed on July 5, 2017).</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7"/>
        <w:gridCol w:w="661"/>
        <w:gridCol w:w="8697"/>
      </w:tblGrid>
      <w:tr>
        <w:trPr/>
        <w:tc>
          <w:tcPr>
            <w:tcW w:w="847" w:type="dxa"/>
            <w:tcBorders/>
            <w:vAlign w:val="center"/>
          </w:tcPr>
          <w:p>
            <w:pPr>
              <w:pStyle w:val="TableContents"/>
              <w:bidi w:val="0"/>
              <w:spacing w:before="0" w:after="283"/>
              <w:jc w:val="left"/>
              <w:rPr>
                <w:sz w:val="4"/>
                <w:szCs w:val="4"/>
              </w:rPr>
            </w:pPr>
            <w:r>
              <w:rPr>
                <w:sz w:val="4"/>
                <w:szCs w:val="4"/>
              </w:rPr>
            </w:r>
          </w:p>
        </w:tc>
        <w:tc>
          <w:tcPr>
            <w:tcW w:w="661" w:type="dxa"/>
            <w:tcBorders/>
            <w:vAlign w:val="bottom"/>
          </w:tcPr>
          <w:p>
            <w:pPr>
              <w:pStyle w:val="TableContents"/>
              <w:bidi w:val="0"/>
              <w:spacing w:before="0" w:after="283"/>
              <w:jc w:val="left"/>
              <w:rPr>
                <w:sz w:val="4"/>
                <w:szCs w:val="4"/>
              </w:rPr>
            </w:pPr>
            <w:r>
              <w:rPr>
                <w:sz w:val="4"/>
                <w:szCs w:val="4"/>
              </w:rPr>
            </w:r>
          </w:p>
        </w:tc>
        <w:tc>
          <w:tcPr>
            <w:tcW w:w="8697"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61" w:type="dxa"/>
            <w:tcBorders/>
            <w:vAlign w:val="bottom"/>
          </w:tcPr>
          <w:p>
            <w:pPr>
              <w:pStyle w:val="TableContents"/>
              <w:bidi w:val="0"/>
              <w:spacing w:before="0" w:after="283"/>
              <w:jc w:val="left"/>
              <w:rPr/>
            </w:pPr>
            <w:r>
              <w:rPr/>
              <w:t>  </w:t>
            </w:r>
          </w:p>
        </w:tc>
        <w:tc>
          <w:tcPr>
            <w:tcW w:w="86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10.14</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45">
              <w:r>
                <w:rPr>
                  <w:rStyle w:val="InternetLink"/>
                </w:rPr>
                <w:t>Termination, Asset Transfer and Transition Agreement, dated September  22, 2017, by and between Napo Pharmaceuticals, Inc. and Alivus Pharmaceuticals, Ltd. (incorporated by reference to Ex. 10.8 to the Quarterly Report on Form 10—Q filed on November 20, 2017)</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10.15</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46">
              <w:r>
                <w:rPr>
                  <w:rStyle w:val="InternetLink"/>
                </w:rPr>
                <w:t>Registration Rights Agreement, dated March  23, 2018, by and between Jaguar Health, Inc. and Sagard Capital Partners, L.P. (incorporated by reference to Ex. 10.2 to the Current Report on Form 8—K filed on March 27,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10.16</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47">
              <w:r>
                <w:rPr>
                  <w:rStyle w:val="InternetLink"/>
                </w:rPr>
                <w:t>Registration Rights Agreement, dated September  11, 2018, by and between Jaguar Health, Inc. and L2 Capital, LLC (incorporated by reference to Ex. 10.3 to the Current Report on Form 8—K filed on September 12,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10.17</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48">
              <w:r>
                <w:rPr>
                  <w:rStyle w:val="InternetLink"/>
                </w:rPr>
                <w:t>Registration Rights Agreement, dated September  11, 2018, by and between Jaguar Health, Inc. and Charles Conte (incorporated by reference to Ex. 10.4 to the Current Report on Form 8—K filed on September 12, 2018).</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10.18</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49">
              <w:r>
                <w:rPr>
                  <w:rStyle w:val="InternetLink"/>
                </w:rPr>
                <w:t>Form of Registration Rights Agreement (incorporated by reference to Exhibit 10.2 to the Form 8-K of Jaguar Health, Inc. filed March 22,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10.19</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0">
              <w:r>
                <w:rPr>
                  <w:rStyle w:val="InternetLink"/>
                </w:rPr>
                <w:t>Letter of Credit Cancellation &amp; Warrant Issuance Agreement, dated March  29, 2019, by and between Jaguar Health, Inc. and the letter of credit beneficiary named therein (incorporated by reference to Exhibit 10.1 to the Form 8-K of Jaguar Health, Inc. filed April 4,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10.20</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1">
              <w:r>
                <w:rPr>
                  <w:rStyle w:val="InternetLink"/>
                </w:rPr>
                <w:t>Amendment No. 1 to Registration Rights Agreement, dated May  30, 2019, by and between Jaguar Health, Inc. and Sagard Capital Partners, L.P. (incorporated by reference to Exhibit 10.120 to the Registration Statement on Form S-1 (No. 333-233989) filed with the Securities and Exchange Commission on September 27, 2019).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10.21</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2">
              <w:r>
                <w:rPr>
                  <w:rStyle w:val="InternetLink"/>
                </w:rPr>
                <w:t>Form of Amendment Agreement (incorporated by reference to Exhibit 10.1 to the Form 8-K of Jaguar Health, Inc. filed July 5,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10.22</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53">
              <w:r>
                <w:rPr>
                  <w:rStyle w:val="InternetLink"/>
                </w:rPr>
                <w:t>Master Services Agreement, dated June  24, 2019, by and among Napo Pharmaceuticals, Inc., Integrium, LLC, and POC Capital, LLC (incorporated by reference to Exhibit 10.24 to the Form 10-K of Jaguar Health, Inc. filed on March 31, 2021,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10.23</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4">
              <w:r>
                <w:rPr>
                  <w:rStyle w:val="InternetLink"/>
                </w:rPr>
                <w:t>Form of Exchange Agreement, between Jaguar Health, Inc. and Chicago Venture Partners, L.P. (incorporated by reference to Exhibit 10.6 to the Form 10-Q of Jaguar Health, Inc. filed on August 14,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10.24</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5">
              <w:r>
                <w:rPr>
                  <w:rStyle w:val="InternetLink"/>
                </w:rPr>
                <w:t>Form of Warrant Agency Agreement between Jaguar Health, Inc. and American Stock Transfer  &amp; Trust Company, LLC (incorporated by reference to Exhibit 10.117 to the Form S-1/A of Jaguar Health, Inc. filed on July 15, 2019, File No. 333-231399).</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10.25</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6">
              <w:r>
                <w:rPr>
                  <w:rStyle w:val="InternetLink"/>
                </w:rPr>
                <w:t>License Termination and Settlement Termination Agreement, dated October  1, 2019, by and among Jaguar Health, Inc., Napo Pharmaceuticals, Inc. and Michael Tempesta (incorporated by reference to Exhibit 10.1 to the Form 8-K of Jaguar Health, Inc. filed October 7,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10.26</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r>
              <w:rPr/>
              <w:t>#</w:t>
            </w:r>
            <w:hyperlink r:id="rId157">
              <w:r>
                <w:rPr>
                  <w:rStyle w:val="InternetLink"/>
                </w:rPr>
                <w:t>Securities Purchase Agreement, dated November  13, 2019, by and between Jaguar Health, Inc. and the purchasers named therein (incorporated by reference to Exhibit 10.1 to the Form 8-K of Jaguar Health, Inc. filed November 14,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10.27</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8">
              <w:r>
                <w:rPr>
                  <w:rStyle w:val="InternetLink"/>
                </w:rPr>
                <w:t>Securities Purchase Agreement, dated December  20, 2019, by and between Jaguar Health, Inc. and the investors named therein (incorporated by reference to Exhibit 10.1 to the Form 8-K of Jaguar Health, Inc. filed December 26, 2019, File No. 001-36714).</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10.28</w:t>
            </w:r>
          </w:p>
        </w:tc>
        <w:tc>
          <w:tcPr>
            <w:tcW w:w="661" w:type="dxa"/>
            <w:tcBorders/>
            <w:vAlign w:val="bottom"/>
          </w:tcPr>
          <w:p>
            <w:pPr>
              <w:pStyle w:val="TableContents"/>
              <w:bidi w:val="0"/>
              <w:spacing w:before="0" w:after="283"/>
              <w:jc w:val="left"/>
              <w:rPr/>
            </w:pPr>
            <w:r>
              <w:rPr/>
              <w:t>  </w:t>
            </w:r>
          </w:p>
        </w:tc>
        <w:tc>
          <w:tcPr>
            <w:tcW w:w="8697" w:type="dxa"/>
            <w:tcBorders/>
          </w:tcPr>
          <w:p>
            <w:pPr>
              <w:pStyle w:val="TableContents"/>
              <w:bidi w:val="0"/>
              <w:spacing w:before="0" w:after="283"/>
              <w:jc w:val="left"/>
              <w:rPr/>
            </w:pPr>
            <w:hyperlink r:id="rId159">
              <w:r>
                <w:rPr>
                  <w:rStyle w:val="InternetLink"/>
                </w:rPr>
                <w:t>Form of Warrant Exercise Agreement by and between Jaguar Health, Inc. and the Holder named therein (incorporated by reference to Exhibit 10.1 to the Form 8-K filed February 28,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10.29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0">
              <w:r>
                <w:rPr>
                  <w:rStyle w:val="InternetLink"/>
                </w:rPr>
                <w:t>Securities Purchase Agreement, dated March  23, 2020, by and between Jaguar Health, Inc. and the investors named therein (incorporated by reference to Exhibit 10.1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1">
              <w:r>
                <w:rPr>
                  <w:rStyle w:val="InternetLink"/>
                </w:rPr>
                <w:t>Equity Purchase Agreement, dated March  24, 2020, by and between Jaguar Health, Inc. and Oasis Capital, LLC (incorporated by reference to Exhibit 10.4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2">
              <w:r>
                <w:rPr>
                  <w:rStyle w:val="InternetLink"/>
                </w:rPr>
                <w:t>Registration Rights Agreement, dated March  24, 2020, by and between Jaguar Health, Inc. and Oasis Capital, LLC (incorporated by reference to Exhibit 10.5 to the Form 8-K filed March 26,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63">
              <w:r>
                <w:rPr>
                  <w:rStyle w:val="InternetLink"/>
                </w:rPr>
                <w:t>Jaguar Health, Inc. 2014 Stock Incentive Plan as amended and restated effective October  1, 2019 (incorporated by reference to Exhibit 10.101 to the Form 10-K of Jaguar Health, Inc. filed April 3, 2020, File No. 001 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4">
              <w:r>
                <w:rPr>
                  <w:rStyle w:val="InternetLink"/>
                </w:rPr>
                <w:t>Purchase Agreement, dated April  15, 2020, by and between Napo Pharmaceuticals, Inc. and Atlas Sciences, LLC (incorporated by reference to Exhibit 10.1 to the Form 8-K filed April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5">
              <w:r>
                <w:rPr>
                  <w:rStyle w:val="InternetLink"/>
                </w:rPr>
                <w:t>License Agreement, dated April  15, 2020, by and between Jaguar Health, Inc. and Atlas Sciences, LLC (incorporated by reference to Exhibit 10.2 to the Form 8-K filed April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6">
              <w:r>
                <w:rPr>
                  <w:rStyle w:val="InternetLink"/>
                </w:rPr>
                <w:t>Purchase Agreement, dated May  12, 2020, by and among Jaguar Health, Inc., Napo Pharmaceuticals, Inc. and Oasis Capital, LLC (incorporated by reference to Exhibit 10,1 to the Form 8-K filed May 21,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67">
              <w:r>
                <w:rPr>
                  <w:rStyle w:val="InternetLink"/>
                </w:rPr>
                <w:t>Assignment Agreement, dated May  12, 2020, by and between Napo Pharmaceuticals, Inc. and Oasis Capital, LLC (incorporated by reference to Exhibit 10.2 to the Form 8-K filed May 21,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68">
              <w:r>
                <w:rPr>
                  <w:rStyle w:val="InternetLink"/>
                </w:rPr>
                <w:t>Jaguar Health, Inc. New Employee Inducement Award Plan (incorporated by reference to Exhibit 10.1 to the Form 8-K filed June 19,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69">
              <w:r>
                <w:rPr>
                  <w:rStyle w:val="InternetLink"/>
                </w:rPr>
                <w:t>Form of Notice of Grant of Stock Option and Stock Option Agreement under Jaguar Health, Inc. New Employee Inducement Award Plan (incorporated by reference to Exhibit 10.2 to the Form 8-K filed June 19,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10.39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0">
              <w:r>
                <w:rPr>
                  <w:rStyle w:val="InternetLink"/>
                </w:rPr>
                <w:t xml:space="preserve">Form of Notice of Grant of Restricted Stock Units and Restricted Stock Unit Agreement under the Jaguar Health, Inc. New Employee Inducement Award Plan (incorporated by reference to Exhibit 10.3 to the Form 8-K filed June 19, 2020, File No. 001-36714). </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1">
              <w:r>
                <w:rPr>
                  <w:rStyle w:val="InternetLink"/>
                </w:rPr>
                <w:t>Securities Purchase Agreement, dated March  4, 2020, by and between Jaguar Health, Inc. and Iliad Research and Trading, L.P. (incorporated by reference to Exhibit 10.1 to the Form 8-K filed March  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2">
              <w:r>
                <w:rPr>
                  <w:rStyle w:val="InternetLink"/>
                </w:rPr>
                <w:t>First Amendment to Royalty Interest Purchase Agreement and Related Documents, dated July  10, 2020, between Jaguar Health, Inc. and Iliad Research and Trading, L.P. (incorporated by reference to Exhibit 10.1 to the Form 8-K filed July 14,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73">
              <w:r>
                <w:rPr>
                  <w:rStyle w:val="InternetLink"/>
                </w:rPr>
                <w:t>Form of Severance and Change of Control Agreement (incorporated by reference to Exhibit 10.11 to the Form 10-Q filed August 13,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4">
              <w:r>
                <w:rPr>
                  <w:rStyle w:val="InternetLink"/>
                </w:rPr>
                <w:t>First Amendment to Purchase Agreement, dated June  26, 2020, by and among Jaguar Health, Inc., Napo Pharmaceuticals, Inc. and Oasis Capital, LLC (incorporated by reference to Exhibit 10.12 to the Form 10-Q filed August 13, 2020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5">
              <w:r>
                <w:rPr>
                  <w:rStyle w:val="InternetLink"/>
                </w:rPr>
                <w:t>First Amendment to Assignment Agreement, dated June  26, 2020, by and between Napo Pharmaceuticals, Inc. and Oasis Capital, LLC (incorporated by reference to Exhibit 10.13 to the Form 10-Q filed August 13,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6">
              <w:r>
                <w:rPr>
                  <w:rStyle w:val="InternetLink"/>
                </w:rPr>
                <w:t>Exchange Agreement, dated September  1, 2020, by and between Jaguar Health, Inc. and Iliad Research and Trading, L.P. (incorporated by reference to Exhibit 10.1 to the Form 8-K filed September  2,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7">
              <w:r>
                <w:rPr>
                  <w:rStyle w:val="InternetLink"/>
                </w:rPr>
                <w:t>Stock Plan Agreement for Payment of Consulting Services, dated September  1, 2020, by and among Jaguar Health, Inc., Sagard Capital Partners Management Corp. and Sagard Capital Partners, L.P. (incorporated by reference to Exhibit 10.2 to the Form 8-K filed September  2,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8">
              <w:r>
                <w:rPr>
                  <w:rStyle w:val="InternetLink"/>
                </w:rPr>
                <w:t>Stock Plan Agreement, dated October  6, 2020, by and between Jaguar Health, Inc. and PoC Capital, LLC (incorporated by reference to Exhibit 10.1 to the Form 8-K filed October 7,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79">
              <w:r>
                <w:rPr>
                  <w:rStyle w:val="InternetLink"/>
                </w:rPr>
                <w:t>Fee Settlement Agreement dated October  7, 2020, by and between Jaguar Health, Inc. and Atlas Sciences, LLC (incorporated by reference to Exhibit 10.1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10.49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0">
              <w:r>
                <w:rPr>
                  <w:rStyle w:val="InternetLink"/>
                </w:rPr>
                <w:t>Royalty Interest Purchase Agreement, dated October 8, 2020, by and between Jaguar Health, Inc. and Iliad Research and Trading,</w:t>
              </w:r>
            </w:hyperlink>
            <w:r>
              <w:rPr/>
              <w:t xml:space="preserve"> </w:t>
            </w:r>
            <w:hyperlink r:id="rId181">
              <w:r>
                <w:rPr>
                  <w:rStyle w:val="InternetLink"/>
                </w:rPr>
                <w:t>L.P. (incorporated by reference to Exhibit 10.1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2">
              <w:r>
                <w:rPr>
                  <w:rStyle w:val="InternetLink"/>
                </w:rPr>
                <w:t>Exchange Agreement, dated October  8, 2020, by and between Jaguar Health, Inc. and Iliad Research and Trading, L.P. (incorporated by reference to Exhibit 10.2 to the Form 8-K filed October  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83">
              <w:r>
                <w:rPr>
                  <w:rStyle w:val="InternetLink"/>
                </w:rPr>
                <w:t>Office Sublease Agreement, dated August  31, 2020, by and between Jaguar Health, Inc. and Peacock Construction, Inc. (incorporated by reference to Exhibit 10.4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4">
              <w:r>
                <w:rPr>
                  <w:rStyle w:val="InternetLink"/>
                </w:rPr>
                <w:t>Consent to Sublease Agreement, dated August  31, 2020, by and among M&amp;E, LLC, Jaguar Health, Inc. and Peacock Construction, Inc. (incorporated by reference to Exhibit 10.5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85">
              <w:r>
                <w:rPr>
                  <w:rStyle w:val="InternetLink"/>
                </w:rPr>
                <w:t>Manufacturing and Supply Agreement, dated September  3, 2020, by and between Alivus Life Sciences Limited and Napo Pharmaceuticals, Inc. (incorporated by reference to Exhibit 10.6 to the Form 10-Q filed November  16,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6">
              <w:r>
                <w:rPr>
                  <w:rStyle w:val="InternetLink"/>
                </w:rPr>
                <w:t>Securities Purchase Agreement, dated December  22, 2020, by and between Jaguar Health, Inc. and Irving Park Capital, LLC (incorporated by reference to Exhibit 10.1 to the Form 8-K filed December 29, 2020,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7">
              <w:r>
                <w:rPr>
                  <w:rStyle w:val="InternetLink"/>
                </w:rPr>
                <w:t>Note Purchase Agreement, dated January  19, 2021, by and among Jaguar Health, Inc., Napo Pharmaceuticals, Inc. and Streeterville Capital, LLC (incorporated by reference to Exhibit 10.1 to the Form 8-K filed January 22,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88">
              <w:r>
                <w:rPr>
                  <w:rStyle w:val="InternetLink"/>
                </w:rPr>
                <w:t>Security Agreement, dated January  19, 2021, by and between Napo Pharmaceuticals, Inc. and Streeterville Capital, LLC (incorporated by reference to Exhibit 10.2 to the Form 8-K filed January  22,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r>
              <w:rPr/>
              <w:t>#</w:t>
            </w:r>
            <w:hyperlink r:id="rId189">
              <w:r>
                <w:rPr>
                  <w:rStyle w:val="InternetLink"/>
                </w:rPr>
                <w:t>Master Services Agreement, dated October  5, 2020, by and between Napo Pharmaceuticals, Inc. and Integrium, LLC (incorporated by reference to Exhibit 10.67 to the Form 10-K filed March 31, 2021,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10.58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190">
              <w:r>
                <w:rPr>
                  <w:rStyle w:val="InternetLink"/>
                </w:rPr>
                <w:t>Form of Securities Purchase Agreement (incorporated by reference to Exhibit 10.1 to the Form 8-K of Jaguar Health, Inc. filed January 14, 2021,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3"/>
        <w:gridCol w:w="684"/>
        <w:gridCol w:w="8668"/>
      </w:tblGrid>
      <w:tr>
        <w:trPr/>
        <w:tc>
          <w:tcPr>
            <w:tcW w:w="853" w:type="dxa"/>
            <w:tcBorders/>
            <w:vAlign w:val="center"/>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8668" w:type="dxa"/>
            <w:tcBorders/>
            <w:vAlign w:val="center"/>
          </w:tcPr>
          <w:p>
            <w:pPr>
              <w:pStyle w:val="TableContents"/>
              <w:bidi w:val="0"/>
              <w:spacing w:before="0" w:after="283"/>
              <w:jc w:val="left"/>
              <w:rPr>
                <w:sz w:val="4"/>
                <w:szCs w:val="4"/>
              </w:rPr>
            </w:pPr>
            <w:r>
              <w:rPr>
                <w:sz w:val="4"/>
                <w:szCs w:val="4"/>
              </w:rPr>
            </w:r>
          </w:p>
        </w:tc>
      </w:tr>
      <w:tr>
        <w:trPr/>
        <w:tc>
          <w:tcPr>
            <w:tcW w:w="8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4" w:type="dxa"/>
            <w:tcBorders/>
            <w:vAlign w:val="bottom"/>
          </w:tcPr>
          <w:p>
            <w:pPr>
              <w:pStyle w:val="TableContents"/>
              <w:bidi w:val="0"/>
              <w:spacing w:before="0" w:after="283"/>
              <w:jc w:val="left"/>
              <w:rPr/>
            </w:pPr>
            <w:r>
              <w:rPr/>
              <w:t>  </w:t>
            </w:r>
          </w:p>
        </w:tc>
        <w:tc>
          <w:tcPr>
            <w:tcW w:w="866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10.59</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1">
              <w:r>
                <w:rPr>
                  <w:rStyle w:val="InternetLink"/>
                </w:rPr>
                <w:t>Office Lease Agreement, dated March 25, 2021, by and between Jaguar Health, Inc. and M  &amp; E LLC (incorporated by reference to Exhibit 10.1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10.60</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2">
              <w:r>
                <w:rPr>
                  <w:rStyle w:val="InternetLink"/>
                </w:rPr>
                <w:t>First Amendment to the Equity Purchase Agreement, dated April  7, 2021, by and between Jaguar Health, Inc. and Oasis Capital, LLC (incorporated by reference to Exhibit 10.2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10.61</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3">
              <w:r>
                <w:rPr>
                  <w:rStyle w:val="InternetLink"/>
                </w:rPr>
                <w:t>Registration Rights Agreement, dated April  7, 2021, by and between Jaguar Health, Inc. and Oasis Capital, LLC (incorporated by reference to Exhibit 10.3 to the Form 8-K of Jaguar Health, Inc. filed April  8,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10.62</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4">
              <w:r>
                <w:rPr>
                  <w:rStyle w:val="InternetLink"/>
                </w:rPr>
                <w:t>Form of Securities Purchase Agreement, dated April 29, 2021 (incorporated by reference to Exhibit 10.1 to the Form 8-K of Jaguar Health, Inc. filed April 30,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10.63</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5">
              <w:r>
                <w:rPr>
                  <w:rStyle w:val="InternetLink"/>
                </w:rPr>
                <w:t>Subscription Agreement, dated June  1, 2021, by and among Dragon SPAC S.p.A., Napo Pharmaceuticals, Inc. and Joshua Mailman (incorporated by reference to Exhibit 10.1 to the Form 8-K of Jaguar Health, Inc. filed June 4,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10.64</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196">
              <w:r>
                <w:rPr>
                  <w:rStyle w:val="InternetLink"/>
                </w:rPr>
                <w:t>License Agreement, dated August  18, 2021, by and between Napo Pharmaceuticals, Inc. and Napo EU S.p.A. (incorporated by reference to Exhibit 10.1 to the Form 8-K of Jaguar Health, Inc. filed August 24,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10.65</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7">
              <w:r>
                <w:rPr>
                  <w:rStyle w:val="InternetLink"/>
                </w:rPr>
                <w:t>Securities Purchase Agreement, dated September  13, 2021, by and between Jaguar Health, Inc. and the investors named therein (incorporated by reference to Exhibit 10.1 to the Form 8-K of Jaguar Health, Inc. filed September 17,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10.66</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8">
              <w:r>
                <w:rPr>
                  <w:rStyle w:val="InternetLink"/>
                </w:rPr>
                <w:t>At The Market Offering Agreement, dated December 10, 2021, by and between Jaguar Health, Inc. and Ladenburg Thalmann  &amp; Co. Inc. (incorporated by reference to Exhibit 10.1 to the Form 8-K of Jaguar Health, Inc. filed December 10, 2021,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10.67</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199">
              <w:r>
                <w:rPr>
                  <w:rStyle w:val="InternetLink"/>
                </w:rPr>
                <w:t>First Amendment to the At the Market Offering Agreement, dated February  2, 2022, by and between Jaguar Health, Inc. and Ladenburg Thalmann &amp; Co. Inc. (incorporated by reference to Exhibit 10.1 to the Form 8-K of Jaguar Health, Inc. filed February 2,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10.68</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0">
              <w:r>
                <w:rPr>
                  <w:rStyle w:val="InternetLink"/>
                </w:rPr>
                <w:t>First Amendment to the Jaguar Health, Inc. New Employee Inducement Award Plan (incorporated by reference to Exhibit 10.1 to the Form 8-K of Jaguar Health, Inc. filed April 15,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10.69</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1">
              <w:r>
                <w:rPr>
                  <w:rStyle w:val="InternetLink"/>
                </w:rPr>
                <w:t>First Amendment to the Jaguar Health, Inc. New Employee Inducement Award Plan (incorporated by reference to Exhibit 10.1 to the Form 8-K of Jaguar Health, Inc. filed April 15,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10.70</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202">
              <w:r>
                <w:rPr>
                  <w:rStyle w:val="InternetLink"/>
                </w:rPr>
                <w:t>Manufacturing Services Agreement, dated June  10, 2022, by and between Napo Pharmaceuticals, Inc. and Patheon Pharmaceuticals Inc. (incorporated by reference to Exhibit 10.1 to the Form 8-K/A of Jaguar Health, Inc. filed August 24,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10.71</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3">
              <w:r>
                <w:rPr>
                  <w:rStyle w:val="InternetLink"/>
                </w:rPr>
                <w:t>License and Services Agreement, dated June  29, 2022, by and among Jaguar Health, Inc., SynWorld Technologies Corporation, C&amp;E Telecom, LTD and Tao Wang (incorporated by reference to Exhibit 10.1 to the Form 8-K of Jaguar Health, Inc. filed June  29,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10.72</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t>
            </w:r>
            <w:hyperlink r:id="rId204">
              <w:r>
                <w:rPr>
                  <w:rStyle w:val="InternetLink"/>
                </w:rPr>
                <w:t>Amended and Restated License Agreement, dated July 19, 2022, by and between Napo Pharmaceuticals, Inc. and Napo Therapeutics</w:t>
              </w:r>
            </w:hyperlink>
            <w:r>
              <w:rPr/>
              <w:t xml:space="preserve"> </w:t>
            </w:r>
            <w:hyperlink r:id="rId205">
              <w:r>
                <w:rPr>
                  <w:rStyle w:val="InternetLink"/>
                </w:rPr>
                <w:t>S.p.A. (incorporated by reference to Exhibit 10.1 to the Form 8-K of Jaguar Health, Inc. filed July 20, 2022, File No. 001-36714).</w:t>
              </w:r>
            </w:hyperlink>
          </w:p>
        </w:tc>
      </w:tr>
      <w:tr>
        <w:trPr>
          <w:trHeight w:val="120" w:hRule="atLeast"/>
        </w:trPr>
        <w:tc>
          <w:tcPr>
            <w:tcW w:w="853" w:type="dxa"/>
            <w:tcBorders/>
            <w:vAlign w:val="center"/>
          </w:tcPr>
          <w:p>
            <w:pPr>
              <w:pStyle w:val="TableContents"/>
              <w:bidi w:val="0"/>
              <w:spacing w:before="0" w:after="283"/>
              <w:jc w:val="left"/>
              <w:rPr>
                <w:sz w:val="4"/>
                <w:szCs w:val="4"/>
              </w:rPr>
            </w:pPr>
            <w:r>
              <w:rPr>
                <w:sz w:val="4"/>
                <w:szCs w:val="4"/>
              </w:rPr>
            </w:r>
          </w:p>
        </w:tc>
        <w:tc>
          <w:tcPr>
            <w:tcW w:w="9352" w:type="dxa"/>
            <w:gridSpan w:val="2"/>
            <w:tcBorders/>
            <w:vAlign w:val="center"/>
          </w:tcPr>
          <w:p>
            <w:pPr>
              <w:pStyle w:val="TableContents"/>
              <w:bidi w:val="0"/>
              <w:spacing w:before="0" w:after="283"/>
              <w:jc w:val="left"/>
              <w:rPr>
                <w:sz w:val="4"/>
                <w:szCs w:val="4"/>
              </w:rPr>
            </w:pPr>
            <w:r>
              <w:rPr>
                <w:sz w:val="4"/>
                <w:szCs w:val="4"/>
              </w:rPr>
            </w:r>
          </w:p>
        </w:tc>
      </w:tr>
      <w:tr>
        <w:trPr/>
        <w:tc>
          <w:tcPr>
            <w:tcW w:w="853" w:type="dxa"/>
            <w:tcBorders/>
          </w:tcPr>
          <w:p>
            <w:pPr>
              <w:pStyle w:val="TableContents"/>
              <w:bidi w:val="0"/>
              <w:spacing w:before="0" w:after="283"/>
              <w:jc w:val="left"/>
              <w:rPr/>
            </w:pPr>
            <w:r>
              <w:rPr/>
              <w:t>10.73</w:t>
            </w:r>
          </w:p>
        </w:tc>
        <w:tc>
          <w:tcPr>
            <w:tcW w:w="684"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hyperlink r:id="rId206">
              <w:r>
                <w:rPr>
                  <w:rStyle w:val="InternetLink"/>
                </w:rPr>
                <w:t>Securities Purchase Agreement, dated August  18, 2022, by and between Jaguar Health, Inc. and SynWorld Technologies Corporation (incorporated by reference to Exhibit 10.1 to the Form 8-K of Jaguar Health, Inc. filed August 23, 2022,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0"/>
        <w:gridCol w:w="685"/>
        <w:gridCol w:w="8670"/>
      </w:tblGrid>
      <w:tr>
        <w:trPr/>
        <w:tc>
          <w:tcPr>
            <w:tcW w:w="85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8670" w:type="dxa"/>
            <w:tcBorders/>
            <w:vAlign w:val="center"/>
          </w:tcPr>
          <w:p>
            <w:pPr>
              <w:pStyle w:val="TableContents"/>
              <w:bidi w:val="0"/>
              <w:spacing w:before="0" w:after="283"/>
              <w:jc w:val="left"/>
              <w:rPr>
                <w:sz w:val="4"/>
                <w:szCs w:val="4"/>
              </w:rPr>
            </w:pPr>
            <w:r>
              <w:rPr>
                <w:sz w:val="4"/>
                <w:szCs w:val="4"/>
              </w:rPr>
            </w:r>
          </w:p>
        </w:tc>
      </w:tr>
      <w:tr>
        <w:trPr/>
        <w:tc>
          <w:tcPr>
            <w:tcW w:w="8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5" w:type="dxa"/>
            <w:tcBorders/>
            <w:vAlign w:val="bottom"/>
          </w:tcPr>
          <w:p>
            <w:pPr>
              <w:pStyle w:val="TableContents"/>
              <w:bidi w:val="0"/>
              <w:spacing w:before="0" w:after="283"/>
              <w:jc w:val="left"/>
              <w:rPr/>
            </w:pPr>
            <w:r>
              <w:rPr/>
              <w:t>  </w:t>
            </w:r>
          </w:p>
        </w:tc>
        <w:tc>
          <w:tcPr>
            <w:tcW w:w="86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7">
              <w:r>
                <w:rPr>
                  <w:rStyle w:val="InternetLink"/>
                </w:rPr>
                <w:t>First Amendment to the License and Services Agreement, dated August  18, 2022, by and between Jaguar Health, Inc. and SynWorld Technologies Corporation (incorporated by reference to Exhibit 10.2 to the Form 8-K of Jaguar Health, Inc. filed August 23,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8">
              <w:r>
                <w:rPr>
                  <w:rStyle w:val="InternetLink"/>
                </w:rPr>
                <w:t>Royalty Interest Purchase Agreement, dated August  24, 2022, by and between Jaguar Health, Inc. and Streeterville Capital, LLC (incorporated by reference to Exhibit 10.1 to the Form 8-K of Jaguar Health, Inc. filed August 30,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09">
              <w:r>
                <w:rPr>
                  <w:rStyle w:val="InternetLink"/>
                </w:rPr>
                <w:t>Amended and Restated License and Services Agreement, dated October  11, 2022, by and among Jaguar Health, Inc., SynWorld Technologies Corporation, C&amp;E Telecom, LTD and Tao Wang (incorporated by reference to Exhibit 10.1 to the Form 8-K of Jaguar Health, Inc. October  14,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0">
              <w:r>
                <w:rPr>
                  <w:rStyle w:val="InternetLink"/>
                </w:rPr>
                <w:t>Global Amendment, dated October  17, 2022, by and among Jaguar Health, Inc., Napo Pharmaceuticals, Inc. and Streeterville Capital, LLC (incorporated by reference to Exhibit 10.1 to the Form 8-K of Jaguar Health, Inc. filed October  21,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1">
              <w:r>
                <w:rPr>
                  <w:rStyle w:val="InternetLink"/>
                </w:rPr>
                <w:t>Securities Purchase Agreement, dated November  11, 2022, by and between Jaguar Health, Inc. and SynWorld Technologies Corporation (incorporated by reference to Exhibit 10.1 to the Form 8-K of Jaguar Health, Inc. filed November 16,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10.79</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2">
              <w:r>
                <w:rPr>
                  <w:rStyle w:val="InternetLink"/>
                </w:rPr>
                <w:t>Form of Company Stock Option Cancellation Agreement (incorporated by reference to Exhibit 10.1 to the Form 8-K of Jaguar Health, Inc. filed December 30, 2022,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10.80</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3">
              <w:r>
                <w:rPr>
                  <w:rStyle w:val="InternetLink"/>
                </w:rPr>
                <w:t>Mutual Termination of License Agreement, dated as of January  31, 2023, by and among Jaguar Health, Inc., SynWorld Technologies Corporation, C&amp;E Telecom, LTD, and Tao Wang (incorporated by reference to Exhibit 10.1 to the Form 8-K of Jaguar Health, Inc. filed February 6,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10.81</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4">
              <w:r>
                <w:rPr>
                  <w:rStyle w:val="InternetLink"/>
                </w:rPr>
                <w:t>Form of Securities Purchase Agreement, dated May 8, 2023 (incorporated by reference to Exhibit 10.1 to the Form 8-K of Jaguar Health, Inc. filed May 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10.82</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5">
              <w:r>
                <w:rPr>
                  <w:rStyle w:val="InternetLink"/>
                </w:rPr>
                <w:t>Standstill Agreement, dated May  8, 2023 (incorporated by reference to Exhibit 10.2 to the Form 8-K of Jaguar Health, Inc. filed May 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10.83</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6">
              <w:r>
                <w:rPr>
                  <w:rStyle w:val="InternetLink"/>
                </w:rPr>
                <w:t>Second Amendment to the Jaguar Health, Inc. New Employee Inducement Award Plan (incorporated by reference to Exhibit 10.1 to the Form 8-K of Jaguar Health, Inc. filed May 19,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10.84</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7">
              <w:r>
                <w:rPr>
                  <w:rStyle w:val="InternetLink"/>
                </w:rPr>
                <w:t>Form of Exchange Agreement, dated June  28, 2023, by and between Jaguar Health, Inc. and Uptown Capital, LLC (incorporated by reference to Exhibit 10.1 to the Form 8-K filed July 3,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10.85</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8">
              <w:r>
                <w:rPr>
                  <w:rStyle w:val="InternetLink"/>
                </w:rPr>
                <w:t>First Amendment to the Standstill Agreement, dated June 28, 2023 (incorporated by reference to Exhibit 10.2 to the Form 8-K of Jaguar Health, Inc. filed July 3,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10.86</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19">
              <w:r>
                <w:rPr>
                  <w:rStyle w:val="InternetLink"/>
                </w:rPr>
                <w:t>Binding Memorandum of Understanding, dated June  30, 2023, by and among Jaguar Health, Inc., Napo Pharmaceuticals, Inc., Iliad Research and Trading, L.P., Uptown Capital, LLC and Streeterville Capital, LLC (incorporated by reference to Exhibit 10.6 to the Form 10-Q filed August 14,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10.87</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0">
              <w:r>
                <w:rPr>
                  <w:rStyle w:val="InternetLink"/>
                </w:rPr>
                <w:t>Amendment No. 1 to Manufacturing and Supply Agreement, dated July  12, 2023, by and between Napo Pharmaceuticals, Inc. and Alivus Life Sciences Limited (incorporated by reference to Exhibit 10.7 to the Form 10-Q filed August  14, 2023, File No. 001-36714).</w:t>
              </w:r>
            </w:hyperlink>
          </w:p>
        </w:tc>
      </w:tr>
      <w:tr>
        <w:trPr>
          <w:trHeight w:val="120"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10.88</w:t>
            </w:r>
          </w:p>
        </w:tc>
        <w:tc>
          <w:tcPr>
            <w:tcW w:w="685" w:type="dxa"/>
            <w:tcBorders/>
            <w:vAlign w:val="bottom"/>
          </w:tcPr>
          <w:p>
            <w:pPr>
              <w:pStyle w:val="TableContents"/>
              <w:bidi w:val="0"/>
              <w:spacing w:before="0" w:after="283"/>
              <w:jc w:val="left"/>
              <w:rPr/>
            </w:pPr>
            <w:r>
              <w:rPr/>
              <w:t>  </w:t>
            </w:r>
          </w:p>
        </w:tc>
        <w:tc>
          <w:tcPr>
            <w:tcW w:w="8670" w:type="dxa"/>
            <w:tcBorders/>
          </w:tcPr>
          <w:p>
            <w:pPr>
              <w:pStyle w:val="TableContents"/>
              <w:bidi w:val="0"/>
              <w:spacing w:before="0" w:after="283"/>
              <w:jc w:val="left"/>
              <w:rPr/>
            </w:pPr>
            <w:hyperlink r:id="rId221">
              <w:r>
                <w:rPr>
                  <w:rStyle w:val="InternetLink"/>
                </w:rPr>
                <w:t>Exchange Agreement, dated September  29, 2023, by and between Jaguar Health, Inc. and Uptown Capital, LLC (incorporated by reference to Exhibit 10.1 to the Form 8-K filed October 5, 2023,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5"/>
        <w:gridCol w:w="599"/>
        <w:gridCol w:w="8751"/>
      </w:tblGrid>
      <w:tr>
        <w:trPr/>
        <w:tc>
          <w:tcPr>
            <w:tcW w:w="85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751"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599" w:type="dxa"/>
            <w:tcBorders/>
            <w:vAlign w:val="bottom"/>
          </w:tcPr>
          <w:p>
            <w:pPr>
              <w:pStyle w:val="TableContents"/>
              <w:bidi w:val="0"/>
              <w:spacing w:before="0" w:after="283"/>
              <w:jc w:val="left"/>
              <w:rPr/>
            </w:pPr>
            <w:r>
              <w:rPr/>
              <w:t>  </w:t>
            </w:r>
          </w:p>
        </w:tc>
        <w:tc>
          <w:tcPr>
            <w:tcW w:w="875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10.89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2">
              <w:r>
                <w:rPr>
                  <w:rStyle w:val="InternetLink"/>
                </w:rPr>
                <w:t>First Amendment to 200 Pine Street Office Lease, dated December 24, 2021, between Jaguar Health, Inc. and M  &amp; E, LLC (incorporated by reference to Exhibit 10.1 to the Form 8-K filed December 1, 2023,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3">
              <w:r>
                <w:rPr>
                  <w:rStyle w:val="InternetLink"/>
                </w:rPr>
                <w:t>Second Amendment to 200 Pine Street Office Lease, dated October 25, 2023, between Jaguar Health, Inc. and M  &amp; E, LLC (incorporated by reference to Exhibit 10.2 to the Form 8-K filed December 1, 2023,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4">
              <w:r>
                <w:rPr>
                  <w:rStyle w:val="InternetLink"/>
                </w:rPr>
                <w:t>Exchange Agreement, dated March  1, 2024, by and between Jaguar Health, Inc. and Streeterville Capital, LLC (incorporated by reference to Exhibit 10.1 to the Form 8-K filed March 1,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5">
              <w:r>
                <w:rPr>
                  <w:rStyle w:val="InternetLink"/>
                </w:rPr>
                <w:t>Form of PIPE Warrant Exchange Agreement, dated February  27, 2024, by and between Jaguar Health, Inc. and the PIPE investor (incorporated by reference to Exhibit 10.2 to the Form 8-K filed March 1,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6">
              <w:r>
                <w:rPr>
                  <w:rStyle w:val="InternetLink"/>
                </w:rPr>
                <w:t>Second Amendment to the At the Market Offering Agreement, dated May  23, 2024, by and between Jaguar Health, Inc. and Ladenburg Thalmann &amp; Co. Inc. (incorporated by reference to Exhibit 10.1 to the Form 8-K of Jaguar Health, Inc. filed May 23,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7">
              <w:r>
                <w:rPr>
                  <w:rStyle w:val="InternetLink"/>
                </w:rPr>
                <w:t>Third Amendment to the At the Market Offering Agreement, dated July  17, 2024, by and between Jaguar Health, Inc., Ladenburg Thalmann  &amp; Co. Inc. and Lucid Capital Markets, LLC (incorporated by reference to Exhibit 10.1 to the Form 8-K of Jaguar Health, Inc. filed July 18,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8">
              <w:r>
                <w:rPr>
                  <w:rStyle w:val="InternetLink"/>
                </w:rPr>
                <w:t>Fourth Amendment to the At the Market Offering Agreement, dated November  13, 2024, by and between Jaguar Health, Inc., Ladenburg Thalmann  &amp; Co. Inc. and Lucid Capital Markets, LLC (incorporated by reference to Exhibit 10.1 to the Form 8-K of Jaguar Health, Inc. filed November 13, 2024,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10.96</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29">
              <w:r>
                <w:rPr>
                  <w:rStyle w:val="InternetLink"/>
                </w:rPr>
                <w:t>Form of Limited Waiver (incorporated by reference to Exhibit 10.1 to the Form 8-K of Jaguar Health, Inc. filed May 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10.97</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0">
              <w:r>
                <w:rPr>
                  <w:rStyle w:val="InternetLink"/>
                </w:rPr>
                <w:t>Fifth Amendment to the At the Market Offering Agreement, dated February  4, 2025, by and between Jaguar Health, Inc., Ladenburg Thalmann &amp; Co. Inc. and Lucid Capital Markets, LLC. (incorporated by reference to Exhibit 10.91 to the Form 10-K filed April  7, 2026,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10.98</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1">
              <w:r>
                <w:rPr>
                  <w:rStyle w:val="InternetLink"/>
                </w:rPr>
                <w:t>Form of Securities Purchase Agreement (incorporated by reference to Exhibit 10.1 to the Form  8-K filed March 26,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10.99</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2">
              <w:r>
                <w:rPr>
                  <w:rStyle w:val="InternetLink"/>
                </w:rPr>
                <w:t>Form of Registration Rights Agreement (incorporated by reference to Exhibit 10.2 to the Form  8-K filed March 26,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10.100</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3">
              <w:r>
                <w:rPr>
                  <w:rStyle w:val="InternetLink"/>
                </w:rPr>
                <w:t>Iliad Common Stock Exchange Agreement (incorporated by reference to Exhibit 10.1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10.101</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4">
              <w:r>
                <w:rPr>
                  <w:rStyle w:val="InternetLink"/>
                </w:rPr>
                <w:t>Streeterville Exchange Agreement (incorporated by reference to Exhibit 10.2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10.102</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5">
              <w:r>
                <w:rPr>
                  <w:rStyle w:val="InternetLink"/>
                </w:rPr>
                <w:t>Iliad Series L Exchange Agreement (incorporated by reference to Exhibit 10.3 to the Form  8-K filed May 15,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10.103</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6">
              <w:r>
                <w:rPr>
                  <w:rStyle w:val="InternetLink"/>
                </w:rPr>
                <w:t>Form of Securities Purchase Agreement (incorporated by reference to Exhibit 10.1 to the Form  8-K filed May 22,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10.104</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7">
              <w:r>
                <w:rPr>
                  <w:rStyle w:val="InternetLink"/>
                </w:rPr>
                <w:t>Form of Note Exchange and Warrant Purchase Agreement (incorporated by reference to Exhibit 10.1 to the Form 8-K filed June 24, 2025, File No. 001-36714).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10.105</w:t>
            </w:r>
          </w:p>
        </w:tc>
        <w:tc>
          <w:tcPr>
            <w:tcW w:w="599" w:type="dxa"/>
            <w:tcBorders/>
            <w:vAlign w:val="bottom"/>
          </w:tcPr>
          <w:p>
            <w:pPr>
              <w:pStyle w:val="TableContents"/>
              <w:bidi w:val="0"/>
              <w:spacing w:before="0" w:after="283"/>
              <w:jc w:val="left"/>
              <w:rPr/>
            </w:pPr>
            <w:r>
              <w:rPr/>
              <w:t>  </w:t>
            </w:r>
          </w:p>
        </w:tc>
        <w:tc>
          <w:tcPr>
            <w:tcW w:w="8751" w:type="dxa"/>
            <w:tcBorders/>
          </w:tcPr>
          <w:p>
            <w:pPr>
              <w:pStyle w:val="TableContents"/>
              <w:bidi w:val="0"/>
              <w:spacing w:before="0" w:after="283"/>
              <w:jc w:val="left"/>
              <w:rPr/>
            </w:pPr>
            <w:hyperlink r:id="rId238">
              <w:r>
                <w:rPr>
                  <w:rStyle w:val="InternetLink"/>
                </w:rPr>
                <w:t>Iliad Series M Exchange Agreement (incorporated by reference to Exhibit 10.1 to the Form  8-K filed June 30, 2025,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2"/>
        <w:gridCol w:w="600"/>
        <w:gridCol w:w="8753"/>
      </w:tblGrid>
      <w:tr>
        <w:trPr/>
        <w:tc>
          <w:tcPr>
            <w:tcW w:w="852"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00" w:type="dxa"/>
            <w:tcBorders/>
            <w:vAlign w:val="bottom"/>
          </w:tcPr>
          <w:p>
            <w:pPr>
              <w:pStyle w:val="TableContents"/>
              <w:bidi w:val="0"/>
              <w:spacing w:before="0" w:after="283"/>
              <w:jc w:val="left"/>
              <w:rPr/>
            </w:pPr>
            <w:r>
              <w:rPr/>
              <w:t>  </w:t>
            </w:r>
          </w:p>
        </w:tc>
        <w:tc>
          <w:tcPr>
            <w:tcW w:w="87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39">
              <w:r>
                <w:rPr>
                  <w:rStyle w:val="InternetLink"/>
                </w:rPr>
                <w:t>Streeterville Series M Exchange Agreement (incorporated by reference to Exhibit 10.2 to the Form  8-K filed June 30,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0">
              <w:r>
                <w:rPr>
                  <w:rStyle w:val="InternetLink"/>
                </w:rPr>
                <w:t>Sixth ATM Amendment, dated August 14, 2025, to ATM Agreement by and among Jaguar Health, Inc., Ladenburg Thalmann  &amp; Co. Inc. and Lucid Capital Markets, LLC. (incorporated by reference to Exhibit 10.1 to the Form 8-K filed August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1">
              <w:r>
                <w:rPr>
                  <w:rStyle w:val="InternetLink"/>
                </w:rPr>
                <w:t>Form of Securities Purchase Agreements (incorporated by reference to Exhibit 10.1 to the Form  8-K filed September 11,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10.109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2">
              <w:r>
                <w:rPr>
                  <w:rStyle w:val="InternetLink"/>
                </w:rPr>
                <w:t>Securities Purchase Agreement, dated September  28, 2025, by and between Jaguar Health, Inc. and Brown Stone Capital Limited (incorporated by reference to Exhibit 10.1 to the Form 8-K filed October 1,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3">
              <w:r>
                <w:rPr>
                  <w:rStyle w:val="InternetLink"/>
                </w:rPr>
                <w:t>Form of Exchange Agreement (incorporated by reference to Exhibit 10.1 to the Form 8-K filed October 3,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4">
              <w:r>
                <w:rPr>
                  <w:rStyle w:val="InternetLink"/>
                </w:rPr>
                <w:t>Note Purchase Agreement, dated November  12, 2025, by and between Jaguar Health, Inc. and Streeterville Capital, LLC (incorporated by reference to Exhibit 10.1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5">
              <w:r>
                <w:rPr>
                  <w:rStyle w:val="InternetLink"/>
                </w:rPr>
                <w:t>Deposit Account Control Agreement, dated November  12, 2025, by and among JAGX Holdings, LLC, Streeterville Capital, LLC and Lakeside Bank (incorporated by reference to Exhibit 10.2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6">
              <w:r>
                <w:rPr>
                  <w:rStyle w:val="InternetLink"/>
                </w:rPr>
                <w:t>Guaranty, dated November 12, 2025, by JAGX Holdings, LLC (incorporated by reference to Exhibit 10.3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10.114</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7">
              <w:r>
                <w:rPr>
                  <w:rStyle w:val="InternetLink"/>
                </w:rPr>
                <w:t>Pledge Agreement, dated November 12, 2025, by Jaguar Health, Inc. (incorporated by reference to Exhibit 10.4 to the Form 8-K filed November 14,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10.115</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8">
              <w:r>
                <w:rPr>
                  <w:rStyle w:val="InternetLink"/>
                </w:rPr>
                <w:t>Exchange Agreement dated November  17, 2025, by and between Jaguar Health, Inc. and Streeterville Capital, LLC (incorporated by reference to Exhibit 10.1 to the Form 8-K filed November  19, 2025,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10.116</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49">
              <w:r>
                <w:rPr>
                  <w:rStyle w:val="InternetLink"/>
                </w:rPr>
                <w:t>First Exchange Agreement, dated December  9, 2025, by and between Jaguar Health, Inc. and Iliad Research and Trading, L.P. (incorporated by reference to Exhibit 10.116 to the Form 10-K filed April 7,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10.117</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0">
              <w:r>
                <w:rPr>
                  <w:rStyle w:val="InternetLink"/>
                </w:rPr>
                <w:t>Second Exchange Agreement, dated December  11, 2025, by and between Jaguar Health, Inc. and Iliad Research and Trading, L.P. (incorporated by reference to Exhibit 10.117 to the Form 10-K filed April 7,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10.118</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1">
              <w:r>
                <w:rPr>
                  <w:rStyle w:val="InternetLink"/>
                </w:rPr>
                <w:t>Form of Securities Purchase Agreement (incorporated by reference to Exhibit 10.1 to the Form  8-K/A filed January 12,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10.119</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2">
              <w:r>
                <w:rPr>
                  <w:rStyle w:val="InternetLink"/>
                </w:rPr>
                <w:t xml:space="preserve">License Agreement, dated January  12, 2026, by and among Napo Pharmaceuticals, Inc., Jaguar Health, Inc., Woodward Specialty LLC and Future Pak, LLC (incorporated by reference to Exhibit 10.1 to the Form 8-K filed January  15, 2026, File No. 001-36714). </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10.120</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3">
              <w:r>
                <w:rPr>
                  <w:rStyle w:val="InternetLink"/>
                </w:rPr>
                <w:t>Supply Agreement, dated January  12, 2026, by and among Napo Pharmaceuticals, Inc., Woodward Specialty LLC and Future Pak, LLC (incorporated by reference to Exhibit 10.2 to the Form 8-K filed January 15,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10.121</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4">
              <w:r>
                <w:rPr>
                  <w:rStyle w:val="InternetLink"/>
                </w:rPr>
                <w:t>Iliad Royalty Interest Exchange Agreement, dated January 16, 2026 (incorporated by reference to Exhibit 10.1 to the Form 8-K filed January 23,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10.122</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5">
              <w:r>
                <w:rPr>
                  <w:rStyle w:val="InternetLink"/>
                </w:rPr>
                <w:t>Streeterville Royalty Interest Exchange Agreement, dated January 16, 2026 (incorporated by reference to Exhibit 10.2 to the Form 8-K filed January 23, 2026, File No. 001-36714).</w:t>
              </w:r>
            </w:hyperlink>
          </w:p>
        </w:tc>
      </w:tr>
      <w:tr>
        <w:trPr>
          <w:trHeight w:val="120" w:hRule="atLeast"/>
        </w:trPr>
        <w:tc>
          <w:tcPr>
            <w:tcW w:w="852" w:type="dxa"/>
            <w:tcBorders/>
            <w:vAlign w:val="center"/>
          </w:tcPr>
          <w:p>
            <w:pPr>
              <w:pStyle w:val="TableContents"/>
              <w:bidi w:val="0"/>
              <w:spacing w:before="0" w:after="283"/>
              <w:jc w:val="left"/>
              <w:rPr>
                <w:sz w:val="4"/>
                <w:szCs w:val="4"/>
              </w:rPr>
            </w:pPr>
            <w:r>
              <w:rPr>
                <w:sz w:val="4"/>
                <w:szCs w:val="4"/>
              </w:rPr>
            </w:r>
          </w:p>
        </w:tc>
        <w:tc>
          <w:tcPr>
            <w:tcW w:w="9353" w:type="dxa"/>
            <w:gridSpan w:val="2"/>
            <w:tcBorders/>
            <w:vAlign w:val="center"/>
          </w:tcPr>
          <w:p>
            <w:pPr>
              <w:pStyle w:val="TableContents"/>
              <w:bidi w:val="0"/>
              <w:spacing w:before="0" w:after="283"/>
              <w:jc w:val="left"/>
              <w:rPr>
                <w:sz w:val="4"/>
                <w:szCs w:val="4"/>
              </w:rPr>
            </w:pPr>
            <w:r>
              <w:rPr>
                <w:sz w:val="4"/>
                <w:szCs w:val="4"/>
              </w:rPr>
            </w:r>
          </w:p>
        </w:tc>
      </w:tr>
      <w:tr>
        <w:trPr/>
        <w:tc>
          <w:tcPr>
            <w:tcW w:w="852" w:type="dxa"/>
            <w:tcBorders/>
          </w:tcPr>
          <w:p>
            <w:pPr>
              <w:pStyle w:val="TableContents"/>
              <w:bidi w:val="0"/>
              <w:spacing w:before="0" w:after="283"/>
              <w:jc w:val="left"/>
              <w:rPr/>
            </w:pPr>
            <w:r>
              <w:rPr/>
              <w:t>10.123</w:t>
            </w:r>
          </w:p>
        </w:tc>
        <w:tc>
          <w:tcPr>
            <w:tcW w:w="600" w:type="dxa"/>
            <w:tcBorders/>
            <w:vAlign w:val="bottom"/>
          </w:tcPr>
          <w:p>
            <w:pPr>
              <w:pStyle w:val="TableContents"/>
              <w:bidi w:val="0"/>
              <w:spacing w:before="0" w:after="283"/>
              <w:jc w:val="left"/>
              <w:rPr/>
            </w:pPr>
            <w:r>
              <w:rPr/>
              <w:t>  </w:t>
            </w:r>
          </w:p>
        </w:tc>
        <w:tc>
          <w:tcPr>
            <w:tcW w:w="8753" w:type="dxa"/>
            <w:tcBorders/>
          </w:tcPr>
          <w:p>
            <w:pPr>
              <w:pStyle w:val="TableContents"/>
              <w:bidi w:val="0"/>
              <w:spacing w:before="0" w:after="283"/>
              <w:jc w:val="left"/>
              <w:rPr/>
            </w:pPr>
            <w:hyperlink r:id="rId256">
              <w:r>
                <w:rPr>
                  <w:rStyle w:val="InternetLink"/>
                </w:rPr>
                <w:t>Iliad Series L Exchange Agreement, dated January 16, 2026 (incorporated by reference to Exhibit 10.3 to the Form 8-K filed January 23, 2026, File No. 001-36714).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4"/>
        <w:gridCol w:w="508"/>
        <w:gridCol w:w="8843"/>
      </w:tblGrid>
      <w:tr>
        <w:trPr/>
        <w:tc>
          <w:tcPr>
            <w:tcW w:w="854"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43"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508" w:type="dxa"/>
            <w:tcBorders/>
            <w:vAlign w:val="bottom"/>
          </w:tcPr>
          <w:p>
            <w:pPr>
              <w:pStyle w:val="TableContents"/>
              <w:bidi w:val="0"/>
              <w:spacing w:before="0" w:after="283"/>
              <w:jc w:val="left"/>
              <w:rPr/>
            </w:pPr>
            <w:r>
              <w:rPr/>
              <w:t>  </w:t>
            </w:r>
          </w:p>
        </w:tc>
        <w:tc>
          <w:tcPr>
            <w:tcW w:w="884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7">
              <w:r>
                <w:rPr>
                  <w:rStyle w:val="InternetLink"/>
                </w:rPr>
                <w:t>Streeterville Series L Exchange Agreement, dated January 16, 2026 (incorporated by reference to Exhibit 10.4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8">
              <w:r>
                <w:rPr>
                  <w:rStyle w:val="InternetLink"/>
                </w:rPr>
                <w:t>Iliad Series M Exchange Agreement, dated January 16, 2026 (incorporated by reference to Exhibit 10.5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59">
              <w:r>
                <w:rPr>
                  <w:rStyle w:val="InternetLink"/>
                </w:rPr>
                <w:t>Streeterville Series M Exchange Agreement, dated January 16, 2026 (incorporated by reference to Exhibit 10.6 to the Form 8-K filed January 23,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0">
              <w:r>
                <w:rPr>
                  <w:rStyle w:val="InternetLink"/>
                </w:rPr>
                <w:t>Security Agreement, dated March  6, 2026, by and between Napo Pharmaceuticals, Inc. and Streeterville Capital, LLC (incorporated by reference to Exhibit 10.1 to the Form 8-K filed March  9,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10.128</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1">
              <w:r>
                <w:rPr>
                  <w:rStyle w:val="InternetLink"/>
                </w:rPr>
                <w:t>Warrant Termination Agreement, dated March  6, 2026, by and between Jaguar Health, Inc., Uptown Capital, LLC, Streeterville Capital, LLC and Iliad Research and Trading, L.P. (incorporated by reference to Exhibit 10.2 to the Form 8-K filed March  9,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10.129</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2">
              <w:r>
                <w:rPr>
                  <w:rStyle w:val="InternetLink"/>
                </w:rPr>
                <w:t xml:space="preserve">ELOC Agreement, dated June  9, 2026, by and between Jaguar Health, Inc. and the Institutional Investor named therein (incorporated by reference to Exhibit 10.1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10.130</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3">
              <w:r>
                <w:rPr>
                  <w:rStyle w:val="InternetLink"/>
                </w:rPr>
                <w:t xml:space="preserve">ELOC Registration Rights Agreement, dated June  9, 2026, by and between Jaguar Health, Inc. and the Institutional Investor named therein (incorporated by reference to Exhibit 10.2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4">
              <w:r>
                <w:rPr>
                  <w:rStyle w:val="InternetLink"/>
                </w:rPr>
                <w:t xml:space="preserve">Form of the Preferred Stock Purchase Agreements (incorporated by reference to Exhibit 10.3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5">
              <w:r>
                <w:rPr>
                  <w:rStyle w:val="InternetLink"/>
                </w:rPr>
                <w:t xml:space="preserve">Preferred Registration Rights Agreement, dated June  9, 2026, by and between Jaguar Health, Inc. and the Investors named therein (incorporated by reference to Exhibit 10.4 to the Form 8-K filed June 11, 2026, File No.  001-36714).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10.133</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6">
              <w:r>
                <w:rPr>
                  <w:rStyle w:val="InternetLink"/>
                </w:rPr>
                <w:t>Exchange Agreement, dated June 9, 2026, by and between Jaguar Health, Inc. and Streeterville Capital, LLC (incorporated by reference to Exhibit 10.1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10.134</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7">
              <w:r>
                <w:rPr>
                  <w:rStyle w:val="InternetLink"/>
                </w:rPr>
                <w:t>Exchange Agreement, dated June 17, 2026, by and between Jaguar Health, Inc. and Streeterville Capital, LLC (incorporated by reference to Exhibit 10.2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10.135</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8">
              <w:r>
                <w:rPr>
                  <w:rStyle w:val="InternetLink"/>
                </w:rPr>
                <w:t>Exchange Agreement, dated June 18, 2026, by and between Jaguar Health, Inc. and Streeterville Capital, LLC (incorporated by reference to Exhibit 10.3 to the Form 8-K filed June 18,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10.136</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69">
              <w:r>
                <w:rPr>
                  <w:rStyle w:val="InternetLink"/>
                </w:rPr>
                <w:t>First Amendment to Manufacturing and Supply Agreement, dated as of June 22, 2026, by and among Napo Pharmaceuticals, Inc., Jaguar Health, Inc., and Woodward Specialty LLC (incorporated by reference to Exhibit 10.1 to the Form 8-K filed June 25,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10.137#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r>
              <w:rPr/>
              <w:t>Manufacturing and Supply Agreement, dated July 9, 2026, by and between Napo Pharmaceuticals, Inc. and Alivus Life Sciences Limited (incorporated by reference to Exhibit 10.1 to the Form 8-K filed July 14, 2026, File No. 001-36714).</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21.1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r:id="rId270">
              <w:r>
                <w:rPr>
                  <w:rStyle w:val="InternetLink"/>
                </w:rPr>
                <w:t>Subsidiaries of the Registrant (incorporated by reference to Exhibit 21.1 to the Form 10-K filed April 7, 2026, File No. 001-36714).</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23.1*</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47881dex231.htm">
              <w:r>
                <w:rPr>
                  <w:rStyle w:val="InternetLink"/>
                </w:rPr>
                <w:t xml:space="preserve">Consent of RBSM LLP, Independent Registered Public Accounting Firm.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23.2*</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47881dex51.htm">
              <w:r>
                <w:rPr>
                  <w:rStyle w:val="InternetLink"/>
                </w:rPr>
                <w:t xml:space="preserve">Consent of Reed Smith LLP (contained in Exhibit 5.1). </w:t>
              </w:r>
            </w:hyperlink>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107*</w:t>
            </w:r>
          </w:p>
        </w:tc>
        <w:tc>
          <w:tcPr>
            <w:tcW w:w="508" w:type="dxa"/>
            <w:tcBorders/>
            <w:vAlign w:val="bottom"/>
          </w:tcPr>
          <w:p>
            <w:pPr>
              <w:pStyle w:val="TableContents"/>
              <w:bidi w:val="0"/>
              <w:spacing w:before="0" w:after="283"/>
              <w:jc w:val="left"/>
              <w:rPr/>
            </w:pPr>
            <w:r>
              <w:rPr/>
              <w:t>  </w:t>
            </w:r>
          </w:p>
        </w:tc>
        <w:tc>
          <w:tcPr>
            <w:tcW w:w="8843" w:type="dxa"/>
            <w:tcBorders/>
          </w:tcPr>
          <w:p>
            <w:pPr>
              <w:pStyle w:val="TableContents"/>
              <w:bidi w:val="0"/>
              <w:spacing w:before="0" w:after="283"/>
              <w:jc w:val="left"/>
              <w:rPr/>
            </w:pPr>
            <w:hyperlink w:anchor="d47881dexfilingfees.htm">
              <w:r>
                <w:rPr>
                  <w:rStyle w:val="InternetLink"/>
                </w:rPr>
                <w:t xml:space="preserve">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treatment granted as to portions of the exhibit. Confidential materials omitted and filed separately with the Securities and Exchange Commission. </w:t>
            </w:r>
          </w:p>
        </w:tc>
      </w:tr>
    </w:tbl>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pPr>
            <w:r>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pursuant to Item 601 of Regulation S-K promulgated under the Securities Act because the information (i) is not material and (ii) would be competitively harmful if publicly disclosed.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San Francisco, State of California on July 15,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Jaguar Health,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Lisa A. Conte</w:t>
            </w:r>
          </w:p>
        </w:tc>
      </w:tr>
      <w:tr>
        <w:trPr/>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directors and officers of Jaguar Health, Inc., a Delaware corporation, hereby severally constitute and appoint Lisa A. Conte and Carol Lizak, and each of them singly, our true and lawful attorneys-in-fact and agents, with full power full power of substitution and resubstitution for her or him and in her or his name, place and stead, and in any and all capacities, to sign for us and in our names in the capacities indicated below any and all amendments (including post-effective amendments) to this registration statement (or any other registration statement for the same offering that is to be effective upon filing pursuant to Rule 462(b) under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he might or could do in person, hereby ratifying and confirming all that said attorney-in-fact and agent, or her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06"/>
        <w:gridCol w:w="121"/>
        <w:gridCol w:w="5373"/>
        <w:gridCol w:w="203"/>
        <w:gridCol w:w="2002"/>
      </w:tblGrid>
      <w:tr>
        <w:trPr/>
        <w:tc>
          <w:tcPr>
            <w:tcW w:w="25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bottom"/>
          </w:tcPr>
          <w:p>
            <w:pPr>
              <w:pStyle w:val="TableContents"/>
              <w:bidi w:val="0"/>
              <w:spacing w:before="0" w:after="283"/>
              <w:jc w:val="center"/>
              <w:rPr>
                <w:b/>
              </w:rPr>
            </w:pPr>
            <w:r>
              <w:rPr>
                <w:b/>
              </w:rPr>
              <w:t>Signature</w:t>
            </w:r>
          </w:p>
        </w:tc>
        <w:tc>
          <w:tcPr>
            <w:tcW w:w="121" w:type="dxa"/>
            <w:tcBorders/>
            <w:vAlign w:val="bottom"/>
          </w:tcPr>
          <w:p>
            <w:pPr>
              <w:pStyle w:val="TableContents"/>
              <w:bidi w:val="0"/>
              <w:spacing w:before="0" w:after="283"/>
              <w:jc w:val="left"/>
              <w:rPr/>
            </w:pPr>
            <w:r>
              <w:rPr/>
              <w:t>  </w:t>
            </w:r>
          </w:p>
        </w:tc>
        <w:tc>
          <w:tcPr>
            <w:tcW w:w="5373" w:type="dxa"/>
            <w:tcBorders/>
            <w:vAlign w:val="bottom"/>
          </w:tcPr>
          <w:p>
            <w:pPr>
              <w:pStyle w:val="TableContents"/>
              <w:bidi w:val="0"/>
              <w:spacing w:before="0" w:after="283"/>
              <w:jc w:val="center"/>
              <w:rPr>
                <w:b/>
              </w:rPr>
            </w:pPr>
            <w:r>
              <w:rPr>
                <w:b/>
              </w:rPr>
              <w:t>Title</w:t>
            </w:r>
          </w:p>
        </w:tc>
        <w:tc>
          <w:tcPr>
            <w:tcW w:w="203" w:type="dxa"/>
            <w:tcBorders/>
            <w:vAlign w:val="bottom"/>
          </w:tcPr>
          <w:p>
            <w:pPr>
              <w:pStyle w:val="TableContents"/>
              <w:bidi w:val="0"/>
              <w:spacing w:before="0" w:after="283"/>
              <w:jc w:val="left"/>
              <w:rPr/>
            </w:pPr>
            <w:r>
              <w:rPr/>
              <w:t> </w:t>
            </w:r>
          </w:p>
        </w:tc>
        <w:tc>
          <w:tcPr>
            <w:tcW w:w="2002" w:type="dxa"/>
            <w:tcBorders/>
            <w:vAlign w:val="bottom"/>
          </w:tcPr>
          <w:p>
            <w:pPr>
              <w:pStyle w:val="TableContents"/>
              <w:bidi w:val="0"/>
              <w:spacing w:before="0" w:after="283"/>
              <w:jc w:val="center"/>
              <w:rPr>
                <w:b/>
              </w:rPr>
            </w:pPr>
            <w:r>
              <w:rPr>
                <w:b/>
              </w:rPr>
              <w:t>Date</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Lisa A. Conte</w:t>
            </w:r>
          </w:p>
          <w:p>
            <w:pPr>
              <w:pStyle w:val="TableContents"/>
              <w:bidi w:val="0"/>
              <w:spacing w:before="0" w:after="20"/>
              <w:jc w:val="left"/>
              <w:rPr>
                <w:rFonts w:ascii="Times New Roman" w:hAnsi="Times New Roman"/>
                <w:sz w:val="20"/>
              </w:rPr>
            </w:pPr>
            <w:r>
              <w:rPr>
                <w:rFonts w:ascii="Times New Roman" w:hAnsi="Times New Roman"/>
                <w:sz w:val="20"/>
              </w:rPr>
              <w:t>Lisa A. Conte</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Chief Executive Officer, President and Director</w:t>
              <w:br/>
              <w:t>(Principal Executive Officer)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15,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Carol Lizak</w:t>
            </w:r>
          </w:p>
          <w:p>
            <w:pPr>
              <w:pStyle w:val="TableContents"/>
              <w:bidi w:val="0"/>
              <w:spacing w:before="0" w:after="20"/>
              <w:jc w:val="left"/>
              <w:rPr>
                <w:rFonts w:ascii="Times New Roman" w:hAnsi="Times New Roman"/>
                <w:sz w:val="20"/>
              </w:rPr>
            </w:pPr>
            <w:r>
              <w:rPr>
                <w:rFonts w:ascii="Times New Roman" w:hAnsi="Times New Roman"/>
                <w:sz w:val="20"/>
              </w:rPr>
              <w:t>Carol Lizak</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Chief Financial Officer and Treasurer</w:t>
              <w:br/>
              <w:t>(Principal Financial and Accounting Officer)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15,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J. Bochnowski</w:t>
            </w:r>
          </w:p>
          <w:p>
            <w:pPr>
              <w:pStyle w:val="TableContents"/>
              <w:bidi w:val="0"/>
              <w:spacing w:before="0" w:after="20"/>
              <w:jc w:val="left"/>
              <w:rPr>
                <w:rFonts w:ascii="Times New Roman" w:hAnsi="Times New Roman"/>
                <w:sz w:val="20"/>
              </w:rPr>
            </w:pPr>
            <w:r>
              <w:rPr>
                <w:rFonts w:ascii="Times New Roman" w:hAnsi="Times New Roman"/>
                <w:sz w:val="20"/>
              </w:rPr>
              <w:t>James J. Bochnowski</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Chairman of the Board</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15,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Micek III</w:t>
            </w:r>
          </w:p>
          <w:p>
            <w:pPr>
              <w:pStyle w:val="TableContents"/>
              <w:bidi w:val="0"/>
              <w:spacing w:before="0" w:after="20"/>
              <w:jc w:val="left"/>
              <w:rPr>
                <w:rFonts w:ascii="Times New Roman" w:hAnsi="Times New Roman"/>
                <w:sz w:val="20"/>
              </w:rPr>
            </w:pPr>
            <w:r>
              <w:rPr>
                <w:rFonts w:ascii="Times New Roman" w:hAnsi="Times New Roman"/>
                <w:sz w:val="20"/>
              </w:rPr>
              <w:t>John Micek III</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15,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Jonathan B. Siegel</w:t>
            </w:r>
          </w:p>
          <w:p>
            <w:pPr>
              <w:pStyle w:val="TableContents"/>
              <w:bidi w:val="0"/>
              <w:spacing w:before="0" w:after="20"/>
              <w:jc w:val="left"/>
              <w:rPr>
                <w:rFonts w:ascii="Times New Roman" w:hAnsi="Times New Roman"/>
                <w:sz w:val="20"/>
              </w:rPr>
            </w:pPr>
            <w:r>
              <w:rPr>
                <w:rFonts w:ascii="Times New Roman" w:hAnsi="Times New Roman"/>
                <w:sz w:val="20"/>
              </w:rPr>
              <w:t>Jonathan B. Siegel</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15, 2026</w:t>
            </w:r>
          </w:p>
        </w:tc>
      </w:tr>
      <w:tr>
        <w:trPr>
          <w:trHeight w:val="240" w:hRule="atLeast"/>
        </w:trPr>
        <w:tc>
          <w:tcPr>
            <w:tcW w:w="2506" w:type="dxa"/>
            <w:tcBorders/>
            <w:vAlign w:val="center"/>
          </w:tcPr>
          <w:p>
            <w:pPr>
              <w:pStyle w:val="TableContents"/>
              <w:bidi w:val="0"/>
              <w:spacing w:before="0" w:after="283"/>
              <w:jc w:val="left"/>
              <w:rPr>
                <w:sz w:val="4"/>
                <w:szCs w:val="4"/>
              </w:rPr>
            </w:pPr>
            <w:r>
              <w:rPr>
                <w:sz w:val="4"/>
                <w:szCs w:val="4"/>
              </w:rPr>
            </w:r>
          </w:p>
        </w:tc>
        <w:tc>
          <w:tcPr>
            <w:tcW w:w="5494"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Anula Jayasuriya</w:t>
            </w:r>
          </w:p>
          <w:p>
            <w:pPr>
              <w:pStyle w:val="TableContents"/>
              <w:bidi w:val="0"/>
              <w:spacing w:before="0" w:after="20"/>
              <w:jc w:val="left"/>
              <w:rPr>
                <w:rFonts w:ascii="Times New Roman" w:hAnsi="Times New Roman"/>
                <w:sz w:val="20"/>
              </w:rPr>
            </w:pPr>
            <w:r>
              <w:rPr>
                <w:rFonts w:ascii="Times New Roman" w:hAnsi="Times New Roman"/>
                <w:sz w:val="20"/>
              </w:rPr>
              <w:t>Anula Jayasuriya</w:t>
            </w:r>
          </w:p>
        </w:tc>
        <w:tc>
          <w:tcPr>
            <w:tcW w:w="121" w:type="dxa"/>
            <w:tcBorders/>
            <w:vAlign w:val="bottom"/>
          </w:tcPr>
          <w:p>
            <w:pPr>
              <w:pStyle w:val="TableContents"/>
              <w:bidi w:val="0"/>
              <w:spacing w:before="0" w:after="283"/>
              <w:jc w:val="left"/>
              <w:rPr/>
            </w:pPr>
            <w:r>
              <w:rPr/>
              <w:t>  </w:t>
            </w:r>
          </w:p>
        </w:tc>
        <w:tc>
          <w:tcPr>
            <w:tcW w:w="5373"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2002" w:type="dxa"/>
            <w:tcBorders/>
          </w:tcPr>
          <w:p>
            <w:pPr>
              <w:pStyle w:val="TableContents"/>
              <w:bidi w:val="0"/>
              <w:spacing w:before="0" w:after="283"/>
              <w:jc w:val="center"/>
              <w:rPr/>
            </w:pPr>
            <w:r>
              <w:rPr/>
              <w:t>July 15,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II-27 </w:t>
      </w:r>
    </w:p>
    <w:p>
      <w:pPr>
        <w:pStyle w:val="TextBody"/>
        <w:bidi w:val="0"/>
        <w:spacing w:before="0" w:after="0"/>
        <w:jc w:val="right"/>
        <w:rPr>
          <w:rFonts w:ascii="Times New Roman" w:hAnsi="Times New Roman"/>
          <w:b/>
          <w:sz w:val="20"/>
        </w:rPr>
      </w:pPr>
      <w:bookmarkStart w:id="18" w:name="d47881dex51.htm"/>
      <w:bookmarkStart w:id="19" w:name="ksd47881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78560" cy="21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1"/>
                    <a:stretch>
                      <a:fillRect/>
                    </a:stretch>
                  </pic:blipFill>
                  <pic:spPr bwMode="auto">
                    <a:xfrm>
                      <a:off x="0" y="0"/>
                      <a:ext cx="1178560" cy="212725"/>
                    </a:xfrm>
                    <a:prstGeom prst="rect">
                      <a:avLst/>
                    </a:prstGeom>
                  </pic:spPr>
                </pic:pic>
              </a:graphicData>
            </a:graphic>
          </wp:inline>
        </w:drawing>
      </w:r>
      <w:r>
        <w:rPr/>
        <w:t xml:space="preserve"> </w:t>
      </w:r>
    </w:p>
    <w:p>
      <w:pPr>
        <w:pStyle w:val="TextBody"/>
        <w:bidi w:val="0"/>
        <w:spacing w:before="120" w:after="0"/>
        <w:jc w:val="right"/>
        <w:rPr>
          <w:rFonts w:ascii="Arial" w:hAnsi="Arial"/>
          <w:sz w:val="16"/>
        </w:rPr>
      </w:pPr>
      <w:r>
        <w:rPr>
          <w:rFonts w:ascii="Arial" w:hAnsi="Arial"/>
          <w:sz w:val="16"/>
        </w:rPr>
        <w:t xml:space="preserve">Reed Smith LLP </w:t>
      </w:r>
    </w:p>
    <w:p>
      <w:pPr>
        <w:pStyle w:val="TextBody"/>
        <w:bidi w:val="0"/>
        <w:spacing w:before="0" w:after="0"/>
        <w:jc w:val="right"/>
        <w:rPr>
          <w:rFonts w:ascii="Arial" w:hAnsi="Arial"/>
          <w:sz w:val="16"/>
        </w:rPr>
      </w:pPr>
      <w:r>
        <w:rPr>
          <w:rFonts w:ascii="Arial" w:hAnsi="Arial"/>
          <w:sz w:val="16"/>
        </w:rPr>
        <w:t xml:space="preserve">1841 Page Mill Road, Suite 110 </w:t>
      </w:r>
    </w:p>
    <w:p>
      <w:pPr>
        <w:pStyle w:val="TextBody"/>
        <w:bidi w:val="0"/>
        <w:spacing w:before="0" w:after="0"/>
        <w:jc w:val="right"/>
        <w:rPr>
          <w:rFonts w:ascii="Arial" w:hAnsi="Arial"/>
          <w:sz w:val="16"/>
        </w:rPr>
      </w:pPr>
      <w:r>
        <w:rPr>
          <w:rFonts w:ascii="Arial" w:hAnsi="Arial"/>
          <w:sz w:val="16"/>
        </w:rPr>
        <w:t xml:space="preserve">Palo Alto, CA 94304 </w:t>
      </w:r>
    </w:p>
    <w:p>
      <w:pPr>
        <w:pStyle w:val="TextBody"/>
        <w:bidi w:val="0"/>
        <w:spacing w:before="0" w:after="0"/>
        <w:jc w:val="right"/>
        <w:rPr>
          <w:rFonts w:ascii="Arial" w:hAnsi="Arial"/>
          <w:sz w:val="16"/>
        </w:rPr>
      </w:pPr>
      <w:r>
        <w:rPr>
          <w:rFonts w:ascii="Arial" w:hAnsi="Arial"/>
          <w:sz w:val="16"/>
        </w:rPr>
        <w:t xml:space="preserve">+1 650 352 0500 </w:t>
      </w:r>
    </w:p>
    <w:p>
      <w:pPr>
        <w:pStyle w:val="TextBody"/>
        <w:bidi w:val="0"/>
        <w:spacing w:before="0" w:after="0"/>
        <w:jc w:val="right"/>
        <w:rPr>
          <w:rFonts w:ascii="Arial" w:hAnsi="Arial"/>
          <w:sz w:val="16"/>
        </w:rPr>
      </w:pPr>
      <w:r>
        <w:rPr>
          <w:rFonts w:ascii="Arial" w:hAnsi="Arial"/>
          <w:sz w:val="16"/>
        </w:rPr>
        <w:t xml:space="preserve">Fax +1 650 352 0699 </w:t>
      </w:r>
    </w:p>
    <w:p>
      <w:pPr>
        <w:pStyle w:val="TextBody"/>
        <w:bidi w:val="0"/>
        <w:spacing w:before="0" w:after="0"/>
        <w:jc w:val="right"/>
        <w:rPr>
          <w:rFonts w:ascii="Arial" w:hAnsi="Arial"/>
          <w:sz w:val="16"/>
        </w:rPr>
      </w:pPr>
      <w:r>
        <w:rPr>
          <w:rFonts w:ascii="Arial" w:hAnsi="Arial"/>
          <w:sz w:val="16"/>
        </w:rPr>
        <w:t xml:space="preserve">reedsmith.com </w:t>
      </w:r>
    </w:p>
    <w:p>
      <w:pPr>
        <w:pStyle w:val="TextBody"/>
        <w:bidi w:val="0"/>
        <w:spacing w:before="240" w:after="0"/>
        <w:jc w:val="left"/>
        <w:rPr>
          <w:rFonts w:ascii="Times New Roman" w:hAnsi="Times New Roman"/>
          <w:sz w:val="20"/>
        </w:rPr>
      </w:pPr>
      <w:r>
        <w:rPr>
          <w:rFonts w:ascii="Times New Roman" w:hAnsi="Times New Roman"/>
          <w:sz w:val="20"/>
        </w:rPr>
        <w:t xml:space="preserve">Jaguar Health, Inc. </w:t>
      </w:r>
    </w:p>
    <w:p>
      <w:pPr>
        <w:pStyle w:val="TextBody"/>
        <w:bidi w:val="0"/>
        <w:spacing w:before="0" w:after="0"/>
        <w:jc w:val="left"/>
        <w:rPr>
          <w:rFonts w:ascii="Times New Roman" w:hAnsi="Times New Roman"/>
          <w:sz w:val="20"/>
        </w:rPr>
      </w:pPr>
      <w:r>
        <w:rPr>
          <w:rFonts w:ascii="Times New Roman" w:hAnsi="Times New Roman"/>
          <w:sz w:val="20"/>
        </w:rPr>
        <w:t xml:space="preserve">200 Pine Street, Suite 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94014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opinion is furnished to you in connection with the Registration Statement on Form S-1 (the “</w:t>
      </w:r>
      <w:r>
        <w:rPr>
          <w:rFonts w:ascii="Times New Roman" w:hAnsi="Times New Roman"/>
          <w:sz w:val="20"/>
          <w:u w:val="single"/>
        </w:rPr>
        <w:t>Registration Statement</w:t>
      </w:r>
      <w:r>
        <w:rPr>
          <w:rFonts w:ascii="Times New Roman" w:hAnsi="Times New Roman"/>
          <w:sz w:val="20"/>
        </w:rPr>
        <w:t>”) filed by Jaguar Health, Inc., a Delaware corporation (the “</w:t>
      </w:r>
      <w:r>
        <w:rPr>
          <w:rFonts w:ascii="Times New Roman" w:hAnsi="Times New Roman"/>
          <w:sz w:val="20"/>
          <w:u w:val="single"/>
        </w:rPr>
        <w:t>Company</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on the date hereof in connection with the registration under the Securities Act of 1933, as amended (the “</w:t>
      </w:r>
      <w:r>
        <w:rPr>
          <w:rFonts w:ascii="Times New Roman" w:hAnsi="Times New Roman"/>
          <w:i/>
          <w:sz w:val="20"/>
        </w:rPr>
        <w:t>Securities Act</w:t>
      </w:r>
      <w:r>
        <w:rPr>
          <w:rFonts w:ascii="Times New Roman" w:hAnsi="Times New Roman"/>
          <w:sz w:val="20"/>
        </w:rPr>
        <w:t>”), for resale by the selling stockholder named in the Registration Statement (the “</w:t>
      </w:r>
      <w:r>
        <w:rPr>
          <w:rFonts w:ascii="Times New Roman" w:hAnsi="Times New Roman"/>
          <w:sz w:val="20"/>
          <w:u w:val="single"/>
        </w:rPr>
        <w:t>Selling Stockholder</w:t>
      </w:r>
      <w:r>
        <w:rPr>
          <w:rFonts w:ascii="Times New Roman" w:hAnsi="Times New Roman"/>
          <w:sz w:val="20"/>
        </w:rPr>
        <w:t>”) of up to 40,800,000 shares of the Company’s voting common stock, par value $0.0001 per share (the “</w:t>
      </w:r>
      <w:r>
        <w:rPr>
          <w:rFonts w:ascii="Times New Roman" w:hAnsi="Times New Roman"/>
          <w:sz w:val="20"/>
          <w:u w:val="single"/>
        </w:rPr>
        <w:t>Common Stock</w:t>
      </w:r>
      <w:r>
        <w:rPr>
          <w:rFonts w:ascii="Times New Roman" w:hAnsi="Times New Roman"/>
          <w:sz w:val="20"/>
        </w:rPr>
        <w:t>”). Such shares of Common Stock consist of: (i) up to 40,000,000 shares of Common Stock (the “</w:t>
      </w:r>
      <w:r>
        <w:rPr>
          <w:rFonts w:ascii="Times New Roman" w:hAnsi="Times New Roman"/>
          <w:sz w:val="20"/>
          <w:u w:val="single"/>
        </w:rPr>
        <w:t>Purchase Shares</w:t>
      </w:r>
      <w:r>
        <w:rPr>
          <w:rFonts w:ascii="Times New Roman" w:hAnsi="Times New Roman"/>
          <w:sz w:val="20"/>
        </w:rPr>
        <w:t>”) that the Company may elect, in its sole discretion, to issue and sell to the Selling Stockholder from time to time pursuant to that certain common stock purchase agreement, dated as of June 9, 2026, by and between the Company and the Selling Stockholder (the “</w:t>
      </w:r>
      <w:r>
        <w:rPr>
          <w:rFonts w:ascii="Times New Roman" w:hAnsi="Times New Roman"/>
          <w:sz w:val="20"/>
          <w:u w:val="single"/>
        </w:rPr>
        <w:t>Purchase Agreement</w:t>
      </w:r>
      <w:r>
        <w:rPr>
          <w:rFonts w:ascii="Times New Roman" w:hAnsi="Times New Roman"/>
          <w:sz w:val="20"/>
        </w:rPr>
        <w:t>”), and (ii) up to 800,000 shares of Common Stock (the “</w:t>
      </w:r>
      <w:r>
        <w:rPr>
          <w:rFonts w:ascii="Times New Roman" w:hAnsi="Times New Roman"/>
          <w:sz w:val="20"/>
          <w:u w:val="single"/>
        </w:rPr>
        <w:t>Commitment Shares</w:t>
      </w:r>
      <w:r>
        <w:rPr>
          <w:rFonts w:ascii="Times New Roman" w:hAnsi="Times New Roman"/>
          <w:sz w:val="20"/>
        </w:rPr>
        <w:t xml:space="preserve">”) issuable to the Selling Stockholder as consideration for the Selling Stockholder’s execution and delivery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herein, we have examined originals or copies, certified or otherwise identified to our satisfaction, of such documents, corporate records, certificates of public officials and other instruments as we have deemed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genuineness of all signatures, the legal capacity of natural persons, the authenticity of all items submitted to us as originals, the conformity with originals of all items submitted to us as copies, and the authenticity of the originals of such copies. As to any facts material to the opinions expressed herein that we did not independently establish or verify, we have relied upon statements and representations of officers and other representatives of the Company and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based solely on the General Corporation Law of the State of Delaware (including all related provisions of the Delaware Constitution and all reported judicial decisions interpreting the General Corporation Law of the State of Delaware and the Delaware Constitution).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(i) the Purchase Shares have been duly authorized for issuance and, when issued against payment therefor in accordance with the terms of the Purchase Agreement, the Purchase Shares will be validly issued, fully paid, and nonassessable, and (ii) the Commitment Shares have been duly authorized for issuance and, when issued in accordance with the terms of the Purchase Agreement, the Commitment Shares will be validly issued, fully paid, and nonassessable.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12"/>
        </w:rPr>
      </w:pPr>
      <w:r>
        <w:rPr>
          <w:rFonts w:ascii="Arial" w:hAnsi="Arial"/>
          <w:b/>
          <w:sz w:val="12"/>
        </w:rPr>
        <w:br/>
        <w:t xml:space="preserve">NEW YORK </w:t>
      </w:r>
      <w:r>
        <w:rPr>
          <w:rFonts w:ascii="Arial" w:hAnsi="Arial"/>
          <w:sz w:val="12"/>
        </w:rPr>
        <w:t xml:space="preserve">◆ </w:t>
      </w:r>
      <w:r>
        <w:rPr>
          <w:rFonts w:ascii="Arial" w:hAnsi="Arial"/>
          <w:b/>
          <w:sz w:val="12"/>
        </w:rPr>
        <w:t xml:space="preserve">LONDON </w:t>
      </w:r>
      <w:r>
        <w:rPr>
          <w:rFonts w:ascii="Arial" w:hAnsi="Arial"/>
          <w:sz w:val="12"/>
        </w:rPr>
        <w:t xml:space="preserve">◆ </w:t>
      </w:r>
      <w:r>
        <w:rPr>
          <w:rFonts w:ascii="Arial" w:hAnsi="Arial"/>
          <w:b/>
          <w:sz w:val="12"/>
        </w:rPr>
        <w:t xml:space="preserve">HONG KONG </w:t>
      </w:r>
      <w:r>
        <w:rPr>
          <w:rFonts w:ascii="Arial" w:hAnsi="Arial"/>
          <w:sz w:val="12"/>
        </w:rPr>
        <w:t xml:space="preserve">◆ </w:t>
      </w:r>
      <w:r>
        <w:rPr>
          <w:rFonts w:ascii="Arial" w:hAnsi="Arial"/>
          <w:b/>
          <w:sz w:val="12"/>
        </w:rPr>
        <w:t xml:space="preserve">CHICAGO </w:t>
      </w:r>
      <w:r>
        <w:rPr>
          <w:rFonts w:ascii="Arial" w:hAnsi="Arial"/>
          <w:sz w:val="12"/>
        </w:rPr>
        <w:t xml:space="preserve">◆ </w:t>
      </w:r>
      <w:r>
        <w:rPr>
          <w:rFonts w:ascii="Arial" w:hAnsi="Arial"/>
          <w:b/>
          <w:sz w:val="12"/>
        </w:rPr>
        <w:t xml:space="preserve">WASHINGTON, D.C. </w:t>
      </w:r>
      <w:r>
        <w:rPr>
          <w:rFonts w:ascii="Arial" w:hAnsi="Arial"/>
          <w:sz w:val="12"/>
        </w:rPr>
        <w:t xml:space="preserve">◆ </w:t>
      </w:r>
      <w:r>
        <w:rPr>
          <w:rFonts w:ascii="Arial" w:hAnsi="Arial"/>
          <w:b/>
          <w:sz w:val="12"/>
        </w:rPr>
        <w:t xml:space="preserve">BEIJING </w:t>
      </w:r>
      <w:r>
        <w:rPr>
          <w:rFonts w:ascii="Arial" w:hAnsi="Arial"/>
          <w:sz w:val="12"/>
        </w:rPr>
        <w:t xml:space="preserve">◆ </w:t>
      </w:r>
      <w:r>
        <w:rPr>
          <w:rFonts w:ascii="Arial" w:hAnsi="Arial"/>
          <w:b/>
          <w:sz w:val="12"/>
        </w:rPr>
        <w:t xml:space="preserve">PARIS </w:t>
      </w:r>
      <w:r>
        <w:rPr>
          <w:rFonts w:ascii="Arial" w:hAnsi="Arial"/>
          <w:sz w:val="12"/>
        </w:rPr>
        <w:t xml:space="preserve">◆ </w:t>
      </w:r>
      <w:r>
        <w:rPr>
          <w:rFonts w:ascii="Arial" w:hAnsi="Arial"/>
          <w:b/>
          <w:sz w:val="12"/>
        </w:rPr>
        <w:t xml:space="preserve">LOS ANGELES </w:t>
      </w:r>
      <w:r>
        <w:rPr>
          <w:rFonts w:ascii="Arial" w:hAnsi="Arial"/>
          <w:sz w:val="12"/>
        </w:rPr>
        <w:t xml:space="preserve">◆ </w:t>
      </w:r>
      <w:r>
        <w:rPr>
          <w:rFonts w:ascii="Arial" w:hAnsi="Arial"/>
          <w:b/>
          <w:sz w:val="12"/>
        </w:rPr>
        <w:t xml:space="preserve">SAN FRANCISCO </w:t>
      </w:r>
      <w:r>
        <w:rPr>
          <w:rFonts w:ascii="Arial" w:hAnsi="Arial"/>
          <w:sz w:val="12"/>
        </w:rPr>
        <w:t xml:space="preserve">◆ </w:t>
      </w:r>
      <w:r>
        <w:rPr>
          <w:rFonts w:ascii="Arial" w:hAnsi="Arial"/>
          <w:b/>
          <w:sz w:val="12"/>
        </w:rPr>
        <w:t xml:space="preserve">PHILADELPHIA </w:t>
      </w:r>
      <w:r>
        <w:rPr>
          <w:rFonts w:ascii="Arial" w:hAnsi="Arial"/>
          <w:sz w:val="12"/>
        </w:rPr>
        <w:t xml:space="preserve">◆ </w:t>
      </w:r>
      <w:r>
        <w:rPr>
          <w:rFonts w:ascii="Arial" w:hAnsi="Arial"/>
          <w:b/>
          <w:sz w:val="12"/>
        </w:rPr>
        <w:t xml:space="preserve">SHANGHAI </w:t>
      </w:r>
      <w:r>
        <w:rPr>
          <w:rFonts w:ascii="Arial" w:hAnsi="Arial"/>
          <w:sz w:val="12"/>
        </w:rPr>
        <w:t xml:space="preserve">◆ </w:t>
      </w:r>
      <w:r>
        <w:rPr>
          <w:rFonts w:ascii="Arial" w:hAnsi="Arial"/>
          <w:b/>
          <w:sz w:val="12"/>
        </w:rPr>
        <w:t xml:space="preserve">PITTSBURGH </w:t>
      </w:r>
      <w:r>
        <w:rPr>
          <w:rFonts w:ascii="Arial" w:hAnsi="Arial"/>
          <w:sz w:val="12"/>
        </w:rPr>
        <w:t xml:space="preserve">◆ </w:t>
      </w:r>
      <w:r>
        <w:rPr>
          <w:rFonts w:ascii="Arial" w:hAnsi="Arial"/>
          <w:b/>
          <w:sz w:val="12"/>
        </w:rPr>
        <w:t xml:space="preserve">HOUSTON </w:t>
      </w:r>
    </w:p>
    <w:p>
      <w:pPr>
        <w:pStyle w:val="TextBody"/>
        <w:bidi w:val="0"/>
        <w:spacing w:before="0" w:after="0"/>
        <w:jc w:val="center"/>
        <w:rPr>
          <w:rFonts w:ascii="Arial" w:hAnsi="Arial"/>
          <w:sz w:val="12"/>
        </w:rPr>
      </w:pPr>
      <w:r>
        <w:rPr>
          <w:rFonts w:ascii="Arial" w:hAnsi="Arial"/>
          <w:b/>
          <w:sz w:val="12"/>
        </w:rPr>
        <w:t xml:space="preserve">SINGAPORE </w:t>
      </w:r>
      <w:r>
        <w:rPr>
          <w:rFonts w:ascii="Arial" w:hAnsi="Arial"/>
          <w:sz w:val="12"/>
        </w:rPr>
        <w:t xml:space="preserve">◆ </w:t>
      </w:r>
      <w:r>
        <w:rPr>
          <w:rFonts w:ascii="Arial" w:hAnsi="Arial"/>
          <w:b/>
          <w:sz w:val="12"/>
        </w:rPr>
        <w:t xml:space="preserve">MUNICH </w:t>
      </w:r>
      <w:r>
        <w:rPr>
          <w:rFonts w:ascii="Arial" w:hAnsi="Arial"/>
          <w:sz w:val="12"/>
        </w:rPr>
        <w:t xml:space="preserve">◆ </w:t>
      </w:r>
      <w:r>
        <w:rPr>
          <w:rFonts w:ascii="Arial" w:hAnsi="Arial"/>
          <w:b/>
          <w:sz w:val="12"/>
        </w:rPr>
        <w:t xml:space="preserve">ABU DHABI </w:t>
      </w:r>
      <w:r>
        <w:rPr>
          <w:rFonts w:ascii="Arial" w:hAnsi="Arial"/>
          <w:sz w:val="12"/>
        </w:rPr>
        <w:t xml:space="preserve">◆ </w:t>
      </w:r>
      <w:r>
        <w:rPr>
          <w:rFonts w:ascii="Arial" w:hAnsi="Arial"/>
          <w:b/>
          <w:sz w:val="12"/>
        </w:rPr>
        <w:t xml:space="preserve">PRINCETON </w:t>
      </w:r>
      <w:r>
        <w:rPr>
          <w:rFonts w:ascii="Arial" w:hAnsi="Arial"/>
          <w:sz w:val="12"/>
        </w:rPr>
        <w:t xml:space="preserve">◆ </w:t>
      </w:r>
      <w:r>
        <w:rPr>
          <w:rFonts w:ascii="Arial" w:hAnsi="Arial"/>
          <w:b/>
          <w:sz w:val="12"/>
        </w:rPr>
        <w:t xml:space="preserve">NORTHERN VIRGINIA </w:t>
      </w:r>
      <w:r>
        <w:rPr>
          <w:rFonts w:ascii="Arial" w:hAnsi="Arial"/>
          <w:sz w:val="12"/>
        </w:rPr>
        <w:t xml:space="preserve">◆ </w:t>
      </w:r>
      <w:r>
        <w:rPr>
          <w:rFonts w:ascii="Arial" w:hAnsi="Arial"/>
          <w:b/>
          <w:sz w:val="12"/>
        </w:rPr>
        <w:t xml:space="preserve">WILMINGTON </w:t>
      </w:r>
      <w:r>
        <w:rPr>
          <w:rFonts w:ascii="Arial" w:hAnsi="Arial"/>
          <w:sz w:val="12"/>
        </w:rPr>
        <w:t xml:space="preserve">◆ </w:t>
      </w:r>
      <w:r>
        <w:rPr>
          <w:rFonts w:ascii="Arial" w:hAnsi="Arial"/>
          <w:b/>
          <w:sz w:val="12"/>
        </w:rPr>
        <w:t xml:space="preserve">SILICON VALLEY </w:t>
      </w:r>
      <w:r>
        <w:rPr>
          <w:rFonts w:ascii="Arial" w:hAnsi="Arial"/>
          <w:sz w:val="12"/>
        </w:rPr>
        <w:t xml:space="preserve">◆ </w:t>
      </w:r>
      <w:r>
        <w:rPr>
          <w:rFonts w:ascii="Arial" w:hAnsi="Arial"/>
          <w:b/>
          <w:sz w:val="12"/>
        </w:rPr>
        <w:t xml:space="preserve">DUBAI </w:t>
      </w:r>
      <w:r>
        <w:rPr>
          <w:rFonts w:ascii="Arial" w:hAnsi="Arial"/>
          <w:sz w:val="12"/>
        </w:rPr>
        <w:t xml:space="preserve">◆ </w:t>
      </w:r>
      <w:r>
        <w:rPr>
          <w:rFonts w:ascii="Arial" w:hAnsi="Arial"/>
          <w:b/>
          <w:sz w:val="12"/>
        </w:rPr>
        <w:t xml:space="preserve">CENTURY CITY </w:t>
      </w:r>
      <w:r>
        <w:rPr>
          <w:rFonts w:ascii="Arial" w:hAnsi="Arial"/>
          <w:sz w:val="12"/>
        </w:rPr>
        <w:t xml:space="preserve">◆ </w:t>
      </w:r>
      <w:r>
        <w:rPr>
          <w:rFonts w:ascii="Arial" w:hAnsi="Arial"/>
          <w:b/>
          <w:sz w:val="12"/>
        </w:rPr>
        <w:t xml:space="preserve">RICHMOND </w:t>
      </w:r>
      <w:r>
        <w:rPr>
          <w:rFonts w:ascii="Arial" w:hAnsi="Arial"/>
          <w:sz w:val="12"/>
        </w:rPr>
        <w:t xml:space="preserve">◆ </w:t>
      </w:r>
      <w:r>
        <w:rPr>
          <w:rFonts w:ascii="Arial" w:hAnsi="Arial"/>
          <w:b/>
          <w:sz w:val="12"/>
        </w:rPr>
        <w:t xml:space="preserve">GREECE </w:t>
      </w:r>
      <w:r>
        <w:rPr>
          <w:rFonts w:ascii="Arial" w:hAnsi="Arial"/>
          <w:sz w:val="12"/>
        </w:rPr>
        <w:t xml:space="preserve">◆ </w:t>
      </w:r>
      <w:r>
        <w:rPr>
          <w:rFonts w:ascii="Arial" w:hAnsi="Arial"/>
          <w:b/>
          <w:sz w:val="12"/>
        </w:rPr>
        <w:t xml:space="preserve">KAZAKHSTAN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59"/>
        <w:gridCol w:w="120"/>
        <w:gridCol w:w="5026"/>
      </w:tblGrid>
      <w:tr>
        <w:trPr/>
        <w:tc>
          <w:tcPr>
            <w:tcW w:w="50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5059" w:type="dxa"/>
            <w:tcBorders/>
          </w:tcPr>
          <w:p>
            <w:pPr>
              <w:pStyle w:val="TableContents"/>
              <w:bidi w:val="0"/>
              <w:spacing w:before="0" w:after="0"/>
              <w:jc w:val="left"/>
              <w:rPr>
                <w:rFonts w:ascii="Times New Roman" w:hAnsi="Times New Roman"/>
                <w:sz w:val="20"/>
              </w:rPr>
            </w:pPr>
            <w:r>
              <w:rPr>
                <w:rFonts w:ascii="Times New Roman" w:hAnsi="Times New Roman"/>
                <w:sz w:val="20"/>
              </w:rPr>
              <w:t>Jaguar Health, Inc.</w:t>
            </w:r>
          </w:p>
          <w:p>
            <w:pPr>
              <w:pStyle w:val="TableContents"/>
              <w:bidi w:val="0"/>
              <w:spacing w:before="0" w:after="20"/>
              <w:jc w:val="left"/>
              <w:rPr>
                <w:rFonts w:ascii="Times New Roman" w:hAnsi="Times New Roman"/>
                <w:sz w:val="20"/>
              </w:rPr>
            </w:pPr>
            <w:r>
              <w:rPr>
                <w:rFonts w:ascii="Times New Roman" w:hAnsi="Times New Roman"/>
                <w:sz w:val="20"/>
              </w:rPr>
              <w:t xml:space="preserve">July 15, 2026 Page 2 </w:t>
            </w:r>
          </w:p>
        </w:tc>
        <w:tc>
          <w:tcPr>
            <w:tcW w:w="120" w:type="dxa"/>
            <w:tcBorders/>
            <w:vAlign w:val="bottom"/>
          </w:tcPr>
          <w:p>
            <w:pPr>
              <w:pStyle w:val="TableContents"/>
              <w:bidi w:val="0"/>
              <w:spacing w:before="0" w:after="283"/>
              <w:jc w:val="left"/>
              <w:rPr/>
            </w:pPr>
            <w:r>
              <w:rPr/>
              <w:t>  </w:t>
            </w:r>
          </w:p>
        </w:tc>
        <w:tc>
          <w:tcPr>
            <w:tcW w:w="5026" w:type="dxa"/>
            <w:tcBorders/>
            <w:vAlign w:val="bottom"/>
          </w:tcPr>
          <w:p>
            <w:pPr>
              <w:pStyle w:val="TableContents"/>
              <w:bidi w:val="0"/>
              <w:spacing w:before="0" w:after="283"/>
              <w:jc w:val="right"/>
              <w:rPr/>
            </w:pPr>
            <w:r>
              <w:rPr/>
              <w:drawing>
                <wp:inline distT="0" distB="0" distL="0" distR="0">
                  <wp:extent cx="116205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2"/>
                          <a:stretch>
                            <a:fillRect/>
                          </a:stretch>
                        </pic:blipFill>
                        <pic:spPr bwMode="auto">
                          <a:xfrm>
                            <a:off x="0" y="0"/>
                            <a:ext cx="1162050" cy="20955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inclusion of this opinion as an exhibit to the Registration Statement and further consent to all references to us under the caption “Legal Matters” in the Prospectus. In giving this consent, we do not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Reed Smith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b/>
              </w:rPr>
            </w:pPr>
            <w:r>
              <w:rPr>
                <w:b/>
              </w:rPr>
              <w:t>Reed Smith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Legal Op: </w:t>
      </w:r>
    </w:p>
    <w:p>
      <w:pPr>
        <w:pStyle w:val="TextBody"/>
        <w:bidi w:val="0"/>
        <w:spacing w:before="0" w:after="0"/>
        <w:jc w:val="left"/>
        <w:rPr>
          <w:rFonts w:ascii="Times New Roman" w:hAnsi="Times New Roman"/>
          <w:sz w:val="20"/>
        </w:rPr>
      </w:pPr>
      <w:r>
        <w:rPr>
          <w:rFonts w:ascii="Times New Roman" w:hAnsi="Times New Roman"/>
          <w:sz w:val="20"/>
        </w:rPr>
        <w:t xml:space="preserve">MSL/LD </w:t>
      </w:r>
    </w:p>
    <w:p>
      <w:pPr>
        <w:pStyle w:val="TextBody"/>
        <w:bidi w:val="0"/>
        <w:spacing w:before="0" w:after="0"/>
        <w:jc w:val="right"/>
        <w:rPr>
          <w:rFonts w:ascii="Times New Roman" w:hAnsi="Times New Roman"/>
          <w:b/>
          <w:sz w:val="20"/>
        </w:rPr>
      </w:pPr>
      <w:bookmarkStart w:id="20" w:name="d47881dex231.htm"/>
      <w:bookmarkStart w:id="21" w:name="ksd47881dex231"/>
      <w:bookmarkEnd w:id="20"/>
      <w:bookmarkEnd w:id="21"/>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50507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3"/>
                    <a:stretch>
                      <a:fillRect/>
                    </a:stretch>
                  </pic:blipFill>
                  <pic:spPr bwMode="auto">
                    <a:xfrm>
                      <a:off x="0" y="0"/>
                      <a:ext cx="2505075" cy="676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S-1 of our report dated April 7, 2026 with respect to the audited consolidated financial statements of Jaguar Health, Inc. as of and for the years ended December 31, 2025 and 2024 (which report includes and explanatory paragraph regarding the company’s ability to continue as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references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RBSM LLP </w:t>
      </w:r>
    </w:p>
    <w:p>
      <w:pPr>
        <w:pStyle w:val="TextBody"/>
        <w:bidi w:val="0"/>
        <w:spacing w:before="240" w:after="0"/>
        <w:jc w:val="left"/>
        <w:rPr>
          <w:rFonts w:ascii="Times New Roman" w:hAnsi="Times New Roman"/>
          <w:sz w:val="20"/>
        </w:rPr>
      </w:pPr>
      <w:r>
        <w:rPr>
          <w:rFonts w:ascii="Times New Roman" w:hAnsi="Times New Roman"/>
          <w:sz w:val="20"/>
        </w:rPr>
        <w:t xml:space="preserve">Larkspur, California </w:t>
      </w:r>
    </w:p>
    <w:p>
      <w:pPr>
        <w:pStyle w:val="TextBody"/>
        <w:bidi w:val="0"/>
        <w:spacing w:before="0" w:after="0"/>
        <w:jc w:val="left"/>
        <w:rPr>
          <w:rFonts w:ascii="Times New Roman" w:hAnsi="Times New Roman"/>
          <w:sz w:val="20"/>
        </w:rPr>
      </w:pPr>
      <w:r>
        <w:rPr>
          <w:rFonts w:ascii="Times New Roman" w:hAnsi="Times New Roman"/>
          <w:sz w:val="20"/>
        </w:rPr>
        <w:t xml:space="preserve">July 15th, 2026 </w:t>
      </w:r>
    </w:p>
    <w:p>
      <w:pPr>
        <w:pStyle w:val="Normal"/>
        <w:bidi w:val="0"/>
        <w:spacing w:before="0" w:after="0"/>
        <w:jc w:val="left"/>
        <w:rPr>
          <w:sz w:val="4"/>
          <w:szCs w:val="4"/>
        </w:rPr>
      </w:pPr>
      <w:r>
        <w:rPr>
          <w:sz w:val="4"/>
          <w:szCs w:val="4"/>
        </w:rPr>
      </w:r>
      <w:bookmarkStart w:id="22" w:name="d47881dexfilingfees.htm"/>
      <w:bookmarkStart w:id="23" w:name="ksd47881dexfilingfees"/>
      <w:bookmarkStart w:id="24" w:name="d47881dexfilingfees.htm"/>
      <w:bookmarkStart w:id="25" w:name="ksd47881dexfilingfees"/>
      <w:bookmarkEnd w:id="24"/>
      <w:bookmarkEnd w:id="25"/>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Jaguar Health,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8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Voting 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40,800,000 </w:t>
            </w:r>
          </w:p>
        </w:tc>
        <w:tc>
          <w:tcPr>
            <w:tcW w:w="1156" w:type="dxa"/>
            <w:tcBorders/>
            <w:shd w:fill="E7E7E2" w:val="clear"/>
            <w:vAlign w:val="center"/>
          </w:tcPr>
          <w:p>
            <w:pPr>
              <w:pStyle w:val="TableContents"/>
              <w:bidi w:val="0"/>
              <w:spacing w:before="0" w:after="283"/>
              <w:jc w:val="right"/>
              <w:rPr/>
            </w:pPr>
            <w:r>
              <w:rPr/>
              <w:t xml:space="preserve">$ 2.20 </w:t>
            </w:r>
          </w:p>
        </w:tc>
        <w:tc>
          <w:tcPr>
            <w:tcW w:w="1666" w:type="dxa"/>
            <w:tcBorders/>
            <w:shd w:fill="E7E7E2" w:val="clear"/>
            <w:vAlign w:val="center"/>
          </w:tcPr>
          <w:p>
            <w:pPr>
              <w:pStyle w:val="TableContents"/>
              <w:bidi w:val="0"/>
              <w:spacing w:before="0" w:after="283"/>
              <w:jc w:val="right"/>
              <w:rPr/>
            </w:pPr>
            <w:r>
              <w:rPr/>
              <w:t xml:space="preserve">$ 89,760,000.00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$ 12,395.86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6" w:name="MaxAggtOfferingPrice"/>
            <w:bookmarkEnd w:id="26"/>
            <w:r>
              <w:rPr/>
              <w:t xml:space="preserve">$ 89,760,000.00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$ 12,395.86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$ 12,395.86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9"/>
        <w:gridCol w:w="1297"/>
        <w:gridCol w:w="8699"/>
      </w:tblGrid>
      <w:tr>
        <w:trPr/>
        <w:tc>
          <w:tcPr>
            <w:tcW w:w="20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6" w:type="dxa"/>
            <w:gridSpan w:val="2"/>
            <w:tcBorders/>
            <w:vAlign w:val="center"/>
          </w:tcPr>
          <w:p>
            <w:pPr>
              <w:pStyle w:val="TableContents"/>
              <w:bidi w:val="0"/>
              <w:spacing w:before="0" w:after="283"/>
              <w:jc w:val="left"/>
              <w:rPr/>
            </w:pPr>
            <w:r>
              <w:rPr/>
              <w:t xml:space="preserve">Estimated solely for the purpose of calculating the registration fee pursuant to Rule 457(c) under the Securities Act of 1933, as amended, based on the average of the high and low prices of the registrant's voting common stock as quoted on The Nasdaq Capital Market on July 14, 2026 (such date being within five business days of the date that this registration statement was filed with the Securities and Exchange Commission). </w:t>
            </w:r>
          </w:p>
        </w:tc>
      </w:tr>
      <w:tr>
        <w:trPr/>
        <w:tc>
          <w:tcPr>
            <w:tcW w:w="1506" w:type="dxa"/>
            <w:gridSpan w:val="2"/>
            <w:tcBorders/>
            <w:vAlign w:val="center"/>
          </w:tcPr>
          <w:p>
            <w:pPr>
              <w:pStyle w:val="HorizontalLine"/>
              <w:pBdr>
                <w:bottom w:val="double" w:sz="2" w:space="0" w:color="808080"/>
              </w:pBdr>
              <w:bidi w:val="0"/>
              <w:spacing w:before="0" w:after="283"/>
              <w:jc w:val="left"/>
              <w:rPr/>
            </w:pPr>
            <w:r>
              <w:rPr/>
            </w:r>
          </w:p>
        </w:tc>
        <w:tc>
          <w:tcPr>
            <w:tcW w:w="869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5608/000119312526144470/jagx-20251231.htm" TargetMode="External"/><Relationship Id="rId4" Type="http://schemas.openxmlformats.org/officeDocument/2006/relationships/hyperlink" Target="http://www.sec.gov/Archives/edgar/data/../../../ix?doc=/Archives/edgar/data/1585608/000119312526232560/jagx-20260331.htm" TargetMode="External"/><Relationship Id="rId5" Type="http://schemas.openxmlformats.org/officeDocument/2006/relationships/hyperlink" Target="http://www.sec.gov/Archives/edgar/data/../../../ix?doc=/Archives/edgar/data/1585608/000119312526164339/d70657dpre14a.htm" TargetMode="External"/><Relationship Id="rId6" Type="http://schemas.openxmlformats.org/officeDocument/2006/relationships/hyperlink" Target="http://www.sec.gov/Archives/edgar/data/../../../ix?doc=/Archives/edgar/data/1585608/000119312526122184/d22104ddef14a.htm" TargetMode="External"/><Relationship Id="rId7" Type="http://schemas.openxmlformats.org/officeDocument/2006/relationships/hyperlink" Target="http://www.sec.gov/Archives/edgar/data/../../../ix?doc=/Archives/edgar/data/1585608/000119312526192753/d70657ddef14a.htm" TargetMode="External"/><Relationship Id="rId8" Type="http://schemas.openxmlformats.org/officeDocument/2006/relationships/hyperlink" Target="http://www.sec.gov/Archives/edgar/data/1585608/000119312526207621/d104009ddefa14a.htm" TargetMode="External"/><Relationship Id="rId9" Type="http://schemas.openxmlformats.org/officeDocument/2006/relationships/hyperlink" Target="http://www.sec.gov/Archives/edgar/data/1585608/000119312526248883/d115751ddefa14a.htm" TargetMode="External"/><Relationship Id="rId10" Type="http://schemas.openxmlformats.org/officeDocument/2006/relationships/hyperlink" Target="http://www.sec.gov/Archives/edgar/data/../../../ix?doc=/Archives/edgar/data/1585608/000119312526009221/jagx-20260105.htm" TargetMode="External"/><Relationship Id="rId11" Type="http://schemas.openxmlformats.org/officeDocument/2006/relationships/hyperlink" Target="http://www.sec.gov/Archives/edgar/data/1585608/000119312526009644/jagx-20260112.htm" TargetMode="External"/><Relationship Id="rId12" Type="http://schemas.openxmlformats.org/officeDocument/2006/relationships/hyperlink" Target="http://www.sec.gov/Archives/edgar/data/../../../ix?doc=/Archives/edgar/data/1585608/000119312526014231/jagx-20260112.htm" TargetMode="External"/><Relationship Id="rId13" Type="http://schemas.openxmlformats.org/officeDocument/2006/relationships/hyperlink" Target="http://www.sec.gov/Archives/edgar/data/../../../ix?doc=/Archives/edgar/data/1585608/000119312526021064/jagx-20260116.htm" TargetMode="External"/><Relationship Id="rId14" Type="http://schemas.openxmlformats.org/officeDocument/2006/relationships/hyperlink" Target="http://www.sec.gov/Archives/edgar/data/../../../ix?doc=/Archives/edgar/data/1585608/000119312526056157/d70748d8k.htm" TargetMode="External"/><Relationship Id="rId15" Type="http://schemas.openxmlformats.org/officeDocument/2006/relationships/hyperlink" Target="http://www.sec.gov/Archives/edgar/data/../../../ix?doc=/Archives/edgar/data/1585608/000119312526086882/d236488d8k.htm" TargetMode="External"/><Relationship Id="rId16" Type="http://schemas.openxmlformats.org/officeDocument/2006/relationships/hyperlink" Target="http://www.sec.gov/Archives/edgar/data/../../../ix?doc=/Archives/edgar/data/1585608/000119312526096565/d62332d8k.htm" TargetMode="External"/><Relationship Id="rId17" Type="http://schemas.openxmlformats.org/officeDocument/2006/relationships/hyperlink" Target="http://www.sec.gov/Archives/edgar/data/../../../ix?doc=/Archives/edgar/data/1585608/000119312526097700/d89977d8k.htm" TargetMode="External"/><Relationship Id="rId18" Type="http://schemas.openxmlformats.org/officeDocument/2006/relationships/hyperlink" Target="http://www.sec.gov/Archives/edgar/data/../../../ix?doc=/Archives/edgar/data/1585608/000119312526149828/d145473d8k.htm" TargetMode="External"/><Relationship Id="rId19" Type="http://schemas.openxmlformats.org/officeDocument/2006/relationships/hyperlink" Target="http://www.sec.gov/Archives/edgar/data/../../../ix?doc=/Archives/edgar/data/1585608/000119312526165120/d10648d8k.htm" TargetMode="External"/><Relationship Id="rId20" Type="http://schemas.openxmlformats.org/officeDocument/2006/relationships/hyperlink" Target="http://www.sec.gov/Archives/edgar/data/../../../ix?doc=/Archives/edgar/data/1585608/000119312526179391/d109088d8k.htm" TargetMode="External"/><Relationship Id="rId21" Type="http://schemas.openxmlformats.org/officeDocument/2006/relationships/hyperlink" Target="http://www.sec.gov/Archives/edgar/data/../../../ix?doc=/Archives/edgar/data/1585608/000119312526202614/d46623d8k.htm" TargetMode="External"/><Relationship Id="rId22" Type="http://schemas.openxmlformats.org/officeDocument/2006/relationships/hyperlink" Target="http://www.sec.gov/Archives/edgar/data/../../../ix?doc=/Archives/edgar/data/1585608/000119312526204310/d941132d8k.htm" TargetMode="External"/><Relationship Id="rId23" Type="http://schemas.openxmlformats.org/officeDocument/2006/relationships/hyperlink" Target="http://www.sec.gov/Archives/edgar/data/../../../ix?doc=/Archives/edgar/data/1585608/000119312526211545/d55784d8k.htm" TargetMode="External"/><Relationship Id="rId24" Type="http://schemas.openxmlformats.org/officeDocument/2006/relationships/hyperlink" Target="http://www.sec.gov/Archives/edgar/data/../../../ix?doc=/Archives/edgar/data/1585608/000119312526231083/d227929d8k.htm" TargetMode="External"/><Relationship Id="rId25" Type="http://schemas.openxmlformats.org/officeDocument/2006/relationships/hyperlink" Target="http://www.sec.gov/Archives/edgar/data/../../../ix?doc=/Archives/edgar/data/1585608/000119312526237195/d138181d8k.htm" TargetMode="External"/><Relationship Id="rId26" Type="http://schemas.openxmlformats.org/officeDocument/2006/relationships/hyperlink" Target="http://www.sec.gov/Archives/edgar/data/../../../ix?doc=/Archives/edgar/data/1585608/000119312526240645/d129501d8k.htm" TargetMode="External"/><Relationship Id="rId27" Type="http://schemas.openxmlformats.org/officeDocument/2006/relationships/hyperlink" Target="http://www.sec.gov/Archives/edgar/data/../../../ix?doc=/Archives/edgar/data/1585608/000119312526253506/d95782d8k.htm" TargetMode="External"/><Relationship Id="rId28" Type="http://schemas.openxmlformats.org/officeDocument/2006/relationships/hyperlink" Target="http://www.sec.gov/Archives/edgar/data/../../../ix?doc=/Archives/edgar/data/1585608/000119312526261910/d85703d8k.htm" TargetMode="External"/><Relationship Id="rId29" Type="http://schemas.openxmlformats.org/officeDocument/2006/relationships/hyperlink" Target="http://www.sec.gov/Archives/edgar/data/../../../ix?doc=/Archives/edgar/data/1585608/000119312526266770/d570985d8k.htm" TargetMode="External"/><Relationship Id="rId30" Type="http://schemas.openxmlformats.org/officeDocument/2006/relationships/hyperlink" Target="http://www.sec.gov/Archives/edgar/data/../../../ix?doc=/Archives/edgar/data/1585608/000119312526276103/d111863d8k.htm" TargetMode="External"/><Relationship Id="rId31" Type="http://schemas.openxmlformats.org/officeDocument/2006/relationships/hyperlink" Target="http://www.sec.gov/Archives/edgar/data/../../../ix?doc=/Archives/edgar/data/1585608/000119312526276845/d27128d8k.htm" TargetMode="External"/><Relationship Id="rId32" Type="http://schemas.openxmlformats.org/officeDocument/2006/relationships/hyperlink" Target="http://www.sec.gov/Archives/edgar/data/../../../ix?doc=/Archives/edgar/data/1585608/000119312526010173/jagx-20260106.htm" TargetMode="External"/><Relationship Id="rId33" Type="http://schemas.openxmlformats.org/officeDocument/2006/relationships/hyperlink" Target="http://www.sec.gov/Archives/edgar/data/../../../ix?doc=/Archives/edgar/data/1585608/000119312526277570/d121487d8ka.htm" TargetMode="External"/><Relationship Id="rId34" Type="http://schemas.openxmlformats.org/officeDocument/2006/relationships/image" Target="media/image2.jpeg"/><Relationship Id="rId35" Type="http://schemas.openxmlformats.org/officeDocument/2006/relationships/hyperlink" Target="http://www.sec.gov/Archives/edgar/data/1585608/000104746917002234/a2231636zex-2_1.htm" TargetMode="External"/><Relationship Id="rId36" Type="http://schemas.openxmlformats.org/officeDocument/2006/relationships/hyperlink" Target="http://www.sec.gov/Archives/edgar/data/1585608/000110465917048146/a17-18650_1ex3d1.htm" TargetMode="External"/><Relationship Id="rId37" Type="http://schemas.openxmlformats.org/officeDocument/2006/relationships/hyperlink" Target="http://www.sec.gov/Archives/edgar/data/1585608/000104746918002654/a2235058zex-3_2.htm" TargetMode="External"/><Relationship Id="rId38" Type="http://schemas.openxmlformats.org/officeDocument/2006/relationships/hyperlink" Target="http://www.sec.gov/Archives/edgar/data/1585608/000110465918037457/a18-14619_1ex3d1.htm" TargetMode="External"/><Relationship Id="rId39" Type="http://schemas.openxmlformats.org/officeDocument/2006/relationships/hyperlink" Target="http://www.sec.gov/Archives/edgar/data/1585608/000110465918037457/a18-14619_1ex3d2.htm" TargetMode="External"/><Relationship Id="rId40" Type="http://schemas.openxmlformats.org/officeDocument/2006/relationships/hyperlink" Target="http://www.sec.gov/Archives/edgar/data/1585608/000110465919034310/a19-11153_1ex3d1.htm" TargetMode="External"/><Relationship Id="rId41" Type="http://schemas.openxmlformats.org/officeDocument/2006/relationships/hyperlink" Target="http://www.sec.gov/Archives/edgar/data/1585608/000114420415032005/v410855_ex3-2.htm" TargetMode="External"/><Relationship Id="rId42" Type="http://schemas.openxmlformats.org/officeDocument/2006/relationships/hyperlink" Target="http://www.sec.gov/Archives/edgar/data/1585608/000110465920101650/a20-30008_1ex3d1.htm" TargetMode="External"/><Relationship Id="rId43" Type="http://schemas.openxmlformats.org/officeDocument/2006/relationships/hyperlink" Target="http://www.sec.gov/Archives/edgar/data/1585608/000110465920101650/a20-30008_1ex3d2.htm" TargetMode="External"/><Relationship Id="rId44" Type="http://schemas.openxmlformats.org/officeDocument/2006/relationships/hyperlink" Target="http://www.sec.gov/Archives/edgar/data/1585608/000110465920103492/a20-30008_3ex3d1.htm" TargetMode="External"/><Relationship Id="rId45" Type="http://schemas.openxmlformats.org/officeDocument/2006/relationships/hyperlink" Target="http://www.sec.gov/Archives/edgar/data/1585608/000110465920133964/a20-37959_1ex3d1.htm" TargetMode="External"/><Relationship Id="rId46" Type="http://schemas.openxmlformats.org/officeDocument/2006/relationships/hyperlink" Target="http://www.sec.gov/Archives/edgar/data/1585608/000110465921113000/tm2126958d1_ex3-1.htm" TargetMode="External"/><Relationship Id="rId47" Type="http://schemas.openxmlformats.org/officeDocument/2006/relationships/hyperlink" Target="http://www.sec.gov/Archives/edgar/data/1585608/000110465922035625/tm229716d1_ex3-1.htm" TargetMode="External"/><Relationship Id="rId48" Type="http://schemas.openxmlformats.org/officeDocument/2006/relationships/hyperlink" Target="http://www.sec.gov/Archives/edgar/data/1585608/000110465922093712/tm2224333d1_ex3-1.htm" TargetMode="External"/><Relationship Id="rId49" Type="http://schemas.openxmlformats.org/officeDocument/2006/relationships/hyperlink" Target="http://www.sec.gov/Archives/edgar/data/1585608/000110465922104637/tm2227154d1_ex3-1.htm" TargetMode="External"/><Relationship Id="rId50" Type="http://schemas.openxmlformats.org/officeDocument/2006/relationships/hyperlink" Target="http://www.sec.gov/Archives/edgar/data/1585608/000110465922119584/tm2229955d2_ex3-1.htm" TargetMode="External"/><Relationship Id="rId51" Type="http://schemas.openxmlformats.org/officeDocument/2006/relationships/hyperlink" Target="http://www.sec.gov/Archives/edgar/data/1585608/000110465923005489/tm234025d1_ex3-1.htm" TargetMode="External"/><Relationship Id="rId52" Type="http://schemas.openxmlformats.org/officeDocument/2006/relationships/hyperlink" Target="http://www.sec.gov/Archives/edgar/data/1585608/000110465923057501/tm2315061d1_ex3-1.htm" TargetMode="External"/><Relationship Id="rId53" Type="http://schemas.openxmlformats.org/officeDocument/2006/relationships/hyperlink" Target="http://www.sec.gov/Archives/edgar/data/1585608/000110465923077663/tm2320100d1_ex3-1.htm" TargetMode="External"/><Relationship Id="rId54" Type="http://schemas.openxmlformats.org/officeDocument/2006/relationships/hyperlink" Target="http://www.sec.gov/Archives/edgar/data/1585608/000110465923107248/tm2327745d1_ex3-1.htm" TargetMode="External"/><Relationship Id="rId55" Type="http://schemas.openxmlformats.org/officeDocument/2006/relationships/hyperlink" Target="http://www.sec.gov/Archives/edgar/data/1585608/000110465924030064/tm247635d1_ex3-1.htm" TargetMode="External"/><Relationship Id="rId56" Type="http://schemas.openxmlformats.org/officeDocument/2006/relationships/hyperlink" Target="http://www.sec.gov/Archives/edgar/data/1585608/000110465924064484/tm2415080d1_ex3-1.htm" TargetMode="External"/><Relationship Id="rId57" Type="http://schemas.openxmlformats.org/officeDocument/2006/relationships/hyperlink" Target="http://www.sec.gov/Archives/edgar/data/1585608/000095017025028403/jagx-ex3_1.htm" TargetMode="External"/><Relationship Id="rId58" Type="http://schemas.openxmlformats.org/officeDocument/2006/relationships/hyperlink" Target="http://www.sec.gov/Archives/edgar/data/1585608/000095017025040784/jagx-ex3_1.htm" TargetMode="External"/><Relationship Id="rId59" Type="http://schemas.openxmlformats.org/officeDocument/2006/relationships/hyperlink" Target="http://www.sec.gov/Archives/edgar/data/1585608/000119312525120763/d63848dex31.htm" TargetMode="External"/><Relationship Id="rId60" Type="http://schemas.openxmlformats.org/officeDocument/2006/relationships/hyperlink" Target="http://www.sec.gov/Archives/edgar/data/1585608/000119312525152345/d14926dex31.htm" TargetMode="External"/><Relationship Id="rId61" Type="http://schemas.openxmlformats.org/officeDocument/2006/relationships/hyperlink" Target="http://www.sec.gov/Archives/edgar/data/1585608/000119312525201351/d947025dex31.htm" TargetMode="External"/><Relationship Id="rId62" Type="http://schemas.openxmlformats.org/officeDocument/2006/relationships/hyperlink" Target="http://www.sec.gov/Archives/edgar/data/1585608/000119312526086882/d236488dex31.htm" TargetMode="External"/><Relationship Id="rId63" Type="http://schemas.openxmlformats.org/officeDocument/2006/relationships/hyperlink" Target="http://www.sec.gov/Archives/edgar/data/1585608/000119312526165120/d10648dex31.htm" TargetMode="External"/><Relationship Id="rId64" Type="http://schemas.openxmlformats.org/officeDocument/2006/relationships/hyperlink" Target="http://www.sec.gov/Archives/edgar/data/1585608/000119312526179391/d109088dex31.htm" TargetMode="External"/><Relationship Id="rId65" Type="http://schemas.openxmlformats.org/officeDocument/2006/relationships/hyperlink" Target="http://www.sec.gov/Archives/edgar/data/1585608/000119312526231083/d227929dex31.htm" TargetMode="External"/><Relationship Id="rId66" Type="http://schemas.openxmlformats.org/officeDocument/2006/relationships/hyperlink" Target="http://www.sec.gov/Archives/edgar/data/1585608/000119312526266770/d570985dex31.htm" TargetMode="External"/><Relationship Id="rId67" Type="http://schemas.openxmlformats.org/officeDocument/2006/relationships/hyperlink" Target="http://www.sec.gov/Archives/edgar/data/1585608/000110465917048146/a17-18650_1ex4d1.htm" TargetMode="External"/><Relationship Id="rId68" Type="http://schemas.openxmlformats.org/officeDocument/2006/relationships/hyperlink" Target="http://www.sec.gov/Archives/edgar/data/1585608/000110465918055082/a18-24125_1ex4d1.htm" TargetMode="External"/><Relationship Id="rId69" Type="http://schemas.openxmlformats.org/officeDocument/2006/relationships/hyperlink" Target="http://www.sec.gov/Archives/edgar/data/1585608/000110465918056318/a18-28069_1ex4d3.htm" TargetMode="External"/><Relationship Id="rId70" Type="http://schemas.openxmlformats.org/officeDocument/2006/relationships/hyperlink" Target="http://www.sec.gov/Archives/edgar/data/1585608/000110465918056318/a18-28069_1ex4d4.htm" TargetMode="External"/><Relationship Id="rId71" Type="http://schemas.openxmlformats.org/officeDocument/2006/relationships/hyperlink" Target="http://www.sec.gov/Archives/edgar/data/1585608/000104746918006516/a2236839zex-4_6.htm" TargetMode="External"/><Relationship Id="rId72" Type="http://schemas.openxmlformats.org/officeDocument/2006/relationships/hyperlink" Target="http://www.sec.gov/Archives/edgar/data/1585608/000110465919016849/a19-7046_1ex4d3.htm" TargetMode="External"/><Relationship Id="rId73" Type="http://schemas.openxmlformats.org/officeDocument/2006/relationships/hyperlink" Target="http://www.sec.gov/Archives/edgar/data/1585608/000110465919017279/a19-7133_4ex4d1.htm" TargetMode="External"/><Relationship Id="rId74" Type="http://schemas.openxmlformats.org/officeDocument/2006/relationships/hyperlink" Target="http://www.sec.gov/Archives/edgar/data/1585608/000110465919019838/a19-7842_1ex4d1.htm" TargetMode="External"/><Relationship Id="rId75" Type="http://schemas.openxmlformats.org/officeDocument/2006/relationships/hyperlink" Target="http://www.sec.gov/Archives/edgar/data/1585608/000110465918037457/a18-14619_1ex4d1.htm" TargetMode="External"/><Relationship Id="rId76" Type="http://schemas.openxmlformats.org/officeDocument/2006/relationships/hyperlink" Target="http://www.sec.gov/Archives/edgar/data/1585608/000110465919041472/a19-13207_1ex4d1.htm" TargetMode="External"/><Relationship Id="rId77" Type="http://schemas.openxmlformats.org/officeDocument/2006/relationships/hyperlink" Target="http://www.sec.gov/Archives/edgar/data/1585608/000110465919041472/a19-13207_1ex4d2.htm" TargetMode="External"/><Relationship Id="rId78" Type="http://schemas.openxmlformats.org/officeDocument/2006/relationships/hyperlink" Target="http://www.sec.gov/Archives/edgar/data/1585608/000110465919053249/a19-19456_1ex4d1.htm" TargetMode="External"/><Relationship Id="rId79" Type="http://schemas.openxmlformats.org/officeDocument/2006/relationships/hyperlink" Target="http://www.sec.gov/Archives/edgar/data/1585608/000110465919063663/a19-22698_1ex4d1.htm" TargetMode="External"/><Relationship Id="rId80" Type="http://schemas.openxmlformats.org/officeDocument/2006/relationships/hyperlink" Target="http://www.sec.gov/Archives/edgar/data/1585608/000110465919076157/a19-26827_1ex4d1.htm" TargetMode="External"/><Relationship Id="rId81" Type="http://schemas.openxmlformats.org/officeDocument/2006/relationships/hyperlink" Target="http://www.sec.gov/Archives/edgar/data/1585608/000110465920030255/tm2011911d1_ex4-1.htm" TargetMode="External"/><Relationship Id="rId82" Type="http://schemas.openxmlformats.org/officeDocument/2006/relationships/hyperlink" Target="http://www.sec.gov/Archives/edgar/data/1585608/000155837020003581/jagx-20191231ex426e78444.htm" TargetMode="External"/><Relationship Id="rId83" Type="http://schemas.openxmlformats.org/officeDocument/2006/relationships/hyperlink" Target="http://www.sec.gov/Archives/edgar/data/1585608/000110465920065481/tm2019077d5_ex4-1.htm" TargetMode="External"/><Relationship Id="rId84" Type="http://schemas.openxmlformats.org/officeDocument/2006/relationships/hyperlink" Target="http://www.sec.gov/Archives/edgar/data/1585608/000110465920101650/a20-30008_1ex4d1.htm" TargetMode="External"/><Relationship Id="rId85" Type="http://schemas.openxmlformats.org/officeDocument/2006/relationships/hyperlink" Target="http://www.sec.gov/Archives/edgar/data/1585608/000110465920101650/a20-30008_1ex4d1.htm" TargetMode="External"/><Relationship Id="rId86" Type="http://schemas.openxmlformats.org/officeDocument/2006/relationships/hyperlink" Target="http://www.sec.gov/Archives/edgar/data/1585608/000110465920113939/a20-32792_4ex4d1.htm" TargetMode="External"/><Relationship Id="rId87" Type="http://schemas.openxmlformats.org/officeDocument/2006/relationships/hyperlink" Target="http://www.sec.gov/Archives/edgar/data/1585608/000110465920113922/a20-32792_2ex4d1.htm" TargetMode="External"/><Relationship Id="rId88" Type="http://schemas.openxmlformats.org/officeDocument/2006/relationships/hyperlink" Target="http://www.sec.gov/Archives/edgar/data/1585608/000110465920140185/a20-39439_2ex4d1.htm" TargetMode="External"/><Relationship Id="rId89" Type="http://schemas.openxmlformats.org/officeDocument/2006/relationships/hyperlink" Target="http://www.sec.gov/Archives/edgar/data/1585608/000110465921006714/a21-3691_1ex4d1.htm" TargetMode="External"/><Relationship Id="rId90" Type="http://schemas.openxmlformats.org/officeDocument/2006/relationships/hyperlink" Target="http://www.sec.gov/Archives/edgar/data/1585608/000110465921048158/tm2112320d1_ex4-1.htm" TargetMode="External"/><Relationship Id="rId91" Type="http://schemas.openxmlformats.org/officeDocument/2006/relationships/hyperlink" Target="http://www.sec.gov/Archives/edgar/data/1585608/000110465922046478/tm2212799d1_ex4-1.htm" TargetMode="External"/><Relationship Id="rId92" Type="http://schemas.openxmlformats.org/officeDocument/2006/relationships/hyperlink" Target="http://www.sec.gov/Archives/edgar/data/1585608/000110465922046478/tm2212799d1_ex4-2.htm" TargetMode="External"/><Relationship Id="rId93" Type="http://schemas.openxmlformats.org/officeDocument/2006/relationships/hyperlink" Target="http://www.sec.gov/Archives/edgar/data/1585608/000110465922046478/tm2212799d1_ex4-3.htm" TargetMode="External"/><Relationship Id="rId94" Type="http://schemas.openxmlformats.org/officeDocument/2006/relationships/hyperlink" Target="http://www.sec.gov/Archives/edgar/data/1585608/000110465922046478/tm2212799d1_ex4-4.htm" TargetMode="External"/><Relationship Id="rId95" Type="http://schemas.openxmlformats.org/officeDocument/2006/relationships/hyperlink" Target="http://www.sec.gov/Archives/edgar/data/1585608/000110465922096057/tm2224757d1_ex4-1.htm" TargetMode="External"/><Relationship Id="rId96" Type="http://schemas.openxmlformats.org/officeDocument/2006/relationships/hyperlink" Target="http://www.sec.gov/Archives/edgar/data/1585608/000110465923057501/tm2315061d1_ex4-1.htm" TargetMode="External"/><Relationship Id="rId97" Type="http://schemas.openxmlformats.org/officeDocument/2006/relationships/hyperlink" Target="http://www.sec.gov/Archives/edgar/data/1585608/000110465923107248/tm2327745d1_ex4-1.htm" TargetMode="External"/><Relationship Id="rId98" Type="http://schemas.openxmlformats.org/officeDocument/2006/relationships/hyperlink" Target="http://www.sec.gov/Archives/edgar/data/1585608/000110465923107248/tm2327745d1_ex4-2.htm" TargetMode="External"/><Relationship Id="rId99" Type="http://schemas.openxmlformats.org/officeDocument/2006/relationships/hyperlink" Target="http://www.sec.gov/Archives/edgar/data/1585608/000110465923107248/tm2327745d1_ex4-3.htm" TargetMode="External"/><Relationship Id="rId100" Type="http://schemas.openxmlformats.org/officeDocument/2006/relationships/hyperlink" Target="http://www.sec.gov/Archives/edgar/data/1585608/000110465923107248/tm2327745d1_ex4-4.htm" TargetMode="External"/><Relationship Id="rId101" Type="http://schemas.openxmlformats.org/officeDocument/2006/relationships/hyperlink" Target="http://www.sec.gov/Archives/edgar/data/1585608/000110465923107248/tm2327745d1_ex4-5.htm" TargetMode="External"/><Relationship Id="rId102" Type="http://schemas.openxmlformats.org/officeDocument/2006/relationships/hyperlink" Target="http://www.sec.gov/Archives/edgar/data/1585608/000119312525019416/d842829dex41.htm" TargetMode="External"/><Relationship Id="rId103" Type="http://schemas.openxmlformats.org/officeDocument/2006/relationships/hyperlink" Target="http://www.sec.gov/Archives/edgar/data/1585608/000095017025024228/jagx-ex4_1.htm" TargetMode="External"/><Relationship Id="rId104" Type="http://schemas.openxmlformats.org/officeDocument/2006/relationships/hyperlink" Target="http://www.sec.gov/Archives/edgar/data/1585608/000095017025028403/jagx-ex4_1.htm" TargetMode="External"/><Relationship Id="rId105" Type="http://schemas.openxmlformats.org/officeDocument/2006/relationships/hyperlink" Target="http://www.sec.gov/Archives/edgar/data/1585608/000095017025044842/jagx-ex4_1.htm" TargetMode="External"/><Relationship Id="rId106" Type="http://schemas.openxmlformats.org/officeDocument/2006/relationships/hyperlink" Target="http://www.sec.gov/Archives/edgar/data/1585608/000095017025044842/jagx-ex4_2.htm" TargetMode="External"/><Relationship Id="rId107" Type="http://schemas.openxmlformats.org/officeDocument/2006/relationships/hyperlink" Target="http://www.sec.gov/Archives/edgar/data/1585608/000095017025044842/jagx-ex4_3.htm" TargetMode="External"/><Relationship Id="rId108" Type="http://schemas.openxmlformats.org/officeDocument/2006/relationships/hyperlink" Target="http://www.sec.gov/Archives/edgar/data/1585608/000119312525124500/d927226dex41.htm" TargetMode="External"/><Relationship Id="rId109" Type="http://schemas.openxmlformats.org/officeDocument/2006/relationships/hyperlink" Target="http://www.sec.gov/Archives/edgar/data/1585608/000119312525124500/d927226dex42.htm" TargetMode="External"/><Relationship Id="rId110" Type="http://schemas.openxmlformats.org/officeDocument/2006/relationships/hyperlink" Target="http://www.sec.gov/Archives/edgar/data/1585608/000119312525145742/d885397dex41.htm" TargetMode="External"/><Relationship Id="rId111" Type="http://schemas.openxmlformats.org/officeDocument/2006/relationships/hyperlink" Target="http://www.sec.gov/Archives/edgar/data/1585608/000119312525145742/d885397dex42.htm" TargetMode="External"/><Relationship Id="rId112" Type="http://schemas.openxmlformats.org/officeDocument/2006/relationships/hyperlink" Target="http://www.sec.gov/Archives/edgar/data/1585608/000119312525226788/d20552dex41.htm" TargetMode="External"/><Relationship Id="rId113" Type="http://schemas.openxmlformats.org/officeDocument/2006/relationships/hyperlink" Target="http://www.sec.gov/Archives/edgar/data/1585608/000119312525283139/d930413dex41.htm" TargetMode="External"/><Relationship Id="rId114" Type="http://schemas.openxmlformats.org/officeDocument/2006/relationships/hyperlink" Target="http://www.sec.gov/Archives/edgar/data/1585608/000119312525287650/jagx-ex4_1.htm" TargetMode="External"/><Relationship Id="rId115" Type="http://schemas.openxmlformats.org/officeDocument/2006/relationships/hyperlink" Target="http://www.sec.gov/Archives/edgar/data/1585608/000119312525287650/jagx-ex4_2.htm" TargetMode="External"/><Relationship Id="rId116" Type="http://schemas.openxmlformats.org/officeDocument/2006/relationships/hyperlink" Target="http://www.sec.gov/Archives/edgar/data/1585608/000119312525287650/jagx-ex4_3.htm" TargetMode="External"/><Relationship Id="rId117" Type="http://schemas.openxmlformats.org/officeDocument/2006/relationships/hyperlink" Target="http://www.sec.gov/Archives/edgar/data/1585608/000119312525287650/jagx-ex4_4.htm" TargetMode="External"/><Relationship Id="rId118" Type="http://schemas.openxmlformats.org/officeDocument/2006/relationships/hyperlink" Target="http://www.sec.gov/Archives/edgar/data/1585608/000119312526144470/jagx-ex4_51.htm" TargetMode="External"/><Relationship Id="rId119" Type="http://schemas.openxmlformats.org/officeDocument/2006/relationships/hyperlink" Target="http://www.sec.gov/Archives/edgar/data/1585608/000119312526144470/jagx-ex4_52.htm" TargetMode="External"/><Relationship Id="rId120" Type="http://schemas.openxmlformats.org/officeDocument/2006/relationships/hyperlink" Target="http://www.sec.gov/Archives/edgar/data/1585608/000119312526010173/jagx-ex4_1.htm" TargetMode="External"/><Relationship Id="rId121" Type="http://schemas.openxmlformats.org/officeDocument/2006/relationships/hyperlink" Target="http://www.sec.gov/Archives/edgar/data/1585608/000119312526010173/jagx-ex4_2.htm" TargetMode="External"/><Relationship Id="rId122" Type="http://schemas.openxmlformats.org/officeDocument/2006/relationships/hyperlink" Target="http://www.sec.gov/Archives/edgar/data/1585608/000119312526021064/jagx-ex4_1.htm" TargetMode="External"/><Relationship Id="rId123" Type="http://schemas.openxmlformats.org/officeDocument/2006/relationships/hyperlink" Target="http://www.sec.gov/Archives/edgar/data/1585608/000119312526056157/d70748dex41.htm" TargetMode="External"/><Relationship Id="rId124" Type="http://schemas.openxmlformats.org/officeDocument/2006/relationships/hyperlink" Target="http://www.sec.gov/Archives/edgar/data/1585608/000119312526097700/d89977dex41.htm" TargetMode="External"/><Relationship Id="rId125" Type="http://schemas.openxmlformats.org/officeDocument/2006/relationships/hyperlink" Target="http://www.sec.gov/Archives/edgar/data/1585608/000119312526097700/d89977dex42.htm" TargetMode="External"/><Relationship Id="rId126" Type="http://schemas.openxmlformats.org/officeDocument/2006/relationships/hyperlink" Target="http://www.sec.gov/Archives/edgar/data/1585608/000119312526097700/d89977dex43.htm" TargetMode="External"/><Relationship Id="rId127" Type="http://schemas.openxmlformats.org/officeDocument/2006/relationships/hyperlink" Target="http://www.sec.gov/Archives/edgar/data/1585608/000119312526097700/d89977dex44.htm" TargetMode="External"/><Relationship Id="rId128" Type="http://schemas.openxmlformats.org/officeDocument/2006/relationships/hyperlink" Target="http://www.sec.gov/Archives/edgar/data/1585608/000119312526266770/d570985dex41.htm" TargetMode="External"/><Relationship Id="rId129" Type="http://schemas.openxmlformats.org/officeDocument/2006/relationships/hyperlink" Target="http://www.sec.gov/Archives/edgar/data/1585608/000119312526276103/d111863dex41.htm" TargetMode="External"/><Relationship Id="rId130" Type="http://schemas.openxmlformats.org/officeDocument/2006/relationships/hyperlink" Target="http://www.sec.gov/Archives/edgar/data/1585608/000119312526276103/d111863dex42.htm" TargetMode="External"/><Relationship Id="rId131" Type="http://schemas.openxmlformats.org/officeDocument/2006/relationships/hyperlink" Target="http://www.sec.gov/Archives/edgar/data/1585608/000119312526276103/d111863dex43.htm" TargetMode="External"/><Relationship Id="rId132" Type="http://schemas.openxmlformats.org/officeDocument/2006/relationships/hyperlink" Target="http://www.sec.gov/Archives/edgar/data/1585608/000104746914007210/a2221253zex-10_1.htm" TargetMode="External"/><Relationship Id="rId133" Type="http://schemas.openxmlformats.org/officeDocument/2006/relationships/hyperlink" Target="http://www.sec.gov/Archives/edgar/data/1585608/000104746914007210/a2221253zex-10_6.htm" TargetMode="External"/><Relationship Id="rId134" Type="http://schemas.openxmlformats.org/officeDocument/2006/relationships/hyperlink" Target="http://www.sec.gov/Archives/edgar/data/1585608/000104746914007210/a2221253zex-10_7.htm" TargetMode="External"/><Relationship Id="rId135" Type="http://schemas.openxmlformats.org/officeDocument/2006/relationships/hyperlink" Target="http://www.sec.gov/Archives/edgar/data/1585608/000104746914007210/a2221253zex-10_8.htm" TargetMode="External"/><Relationship Id="rId136" Type="http://schemas.openxmlformats.org/officeDocument/2006/relationships/hyperlink" Target="http://www.sec.gov/Archives/edgar/data/1585608/000104746914007210/a2221253zex-10_9.htm" TargetMode="External"/><Relationship Id="rId137" Type="http://schemas.openxmlformats.org/officeDocument/2006/relationships/hyperlink" Target="http://www.sec.gov/Archives/edgar/data/1585608/000104746914007210/a2221253zex-10_11.htm" TargetMode="External"/><Relationship Id="rId138" Type="http://schemas.openxmlformats.org/officeDocument/2006/relationships/hyperlink" Target="http://www.sec.gov/Archives/edgar/data/1585608/000104746916009591/a2227002zex-10_30.htm" TargetMode="External"/><Relationship Id="rId139" Type="http://schemas.openxmlformats.org/officeDocument/2006/relationships/hyperlink" Target="http://www.sec.gov/Archives/edgar/data/1585608/000110465916156957/a16-17191_1ex10d2.htm" TargetMode="External"/><Relationship Id="rId140" Type="http://schemas.openxmlformats.org/officeDocument/2006/relationships/hyperlink" Target="http://www.sec.gov/Archives/edgar/data/1585608/000104746917000684/a2230899zex-10_41.htm" TargetMode="External"/><Relationship Id="rId141" Type="http://schemas.openxmlformats.org/officeDocument/2006/relationships/hyperlink" Target="http://www.sec.gov/Archives/edgar/data/1585608/000104746917003695/a2232030zex-10_61.htm" TargetMode="External"/><Relationship Id="rId142" Type="http://schemas.openxmlformats.org/officeDocument/2006/relationships/hyperlink" Target="http://www.sec.gov/Archives/edgar/data/1585608/000104746917003695/a2232030zex-10_62.htm" TargetMode="External"/><Relationship Id="rId143" Type="http://schemas.openxmlformats.org/officeDocument/2006/relationships/hyperlink" Target="http://www.sec.gov/Archives/edgar/data/1585608/000104746917003695/a2232030zex-10_77.htm" TargetMode="External"/><Relationship Id="rId144" Type="http://schemas.openxmlformats.org/officeDocument/2006/relationships/hyperlink" Target="http://www.sec.gov/Archives/edgar/data/1585608/000104746917004307/a2232537zex-10_83.htm" TargetMode="External"/><Relationship Id="rId145" Type="http://schemas.openxmlformats.org/officeDocument/2006/relationships/hyperlink" Target="http://www.sec.gov/Archives/edgar/data/1585608/000110465917069520/a17-20620_1ex10d8.htm" TargetMode="External"/><Relationship Id="rId146" Type="http://schemas.openxmlformats.org/officeDocument/2006/relationships/hyperlink" Target="http://www.sec.gov/Archives/edgar/data/1585608/000110465918020494/a18-8963_1ex10d2.htm" TargetMode="External"/><Relationship Id="rId147" Type="http://schemas.openxmlformats.org/officeDocument/2006/relationships/hyperlink" Target="http://www.sec.gov/Archives/edgar/data/1585608/000110465918056318/a18-28069_1ex10d3.htm" TargetMode="External"/><Relationship Id="rId148" Type="http://schemas.openxmlformats.org/officeDocument/2006/relationships/hyperlink" Target="http://www.sec.gov/Archives/edgar/data/1585608/000110465918056318/a18-28069_1ex10d4.htm" TargetMode="External"/><Relationship Id="rId149" Type="http://schemas.openxmlformats.org/officeDocument/2006/relationships/hyperlink" Target="http://www.sec.gov/Archives/edgar/data/1585608/000110465919016849/a19-7046_1ex10d2.htm" TargetMode="External"/><Relationship Id="rId150" Type="http://schemas.openxmlformats.org/officeDocument/2006/relationships/hyperlink" Target="http://www.sec.gov/Archives/edgar/data/1585608/000110465919019838/a19-7842_1ex10d1.htm" TargetMode="External"/><Relationship Id="rId151" Type="http://schemas.openxmlformats.org/officeDocument/2006/relationships/hyperlink" Target="http://www.sec.gov/Archives/edgar/data/1585608/000110465919051819/a19-19067_1ex10d120.htm" TargetMode="External"/><Relationship Id="rId152" Type="http://schemas.openxmlformats.org/officeDocument/2006/relationships/hyperlink" Target="http://www.sec.gov/Archives/edgar/data/1585608/000110465919039384/a19-12497_1ex10d1.htm" TargetMode="External"/><Relationship Id="rId153" Type="http://schemas.openxmlformats.org/officeDocument/2006/relationships/hyperlink" Target="http://www.sec.gov/Archives/edgar/data/1585608/000155837021003811/jagx-20201231ex10249f535.htm" TargetMode="External"/><Relationship Id="rId154" Type="http://schemas.openxmlformats.org/officeDocument/2006/relationships/hyperlink" Target="http://www.sec.gov/Archives/edgar/data/1585608/000155837019008174/jagx-20190630ex106ca3861.htm" TargetMode="External"/><Relationship Id="rId155" Type="http://schemas.openxmlformats.org/officeDocument/2006/relationships/hyperlink" Target="http://www.sec.gov/Archives/edgar/data/1585608/000104746919004164/a2239230zex-10_117.htm" TargetMode="External"/><Relationship Id="rId156" Type="http://schemas.openxmlformats.org/officeDocument/2006/relationships/hyperlink" Target="http://www.sec.gov/Archives/edgar/data/1585608/000110465919053249/a19-19456_1ex10d1.htm" TargetMode="External"/><Relationship Id="rId157" Type="http://schemas.openxmlformats.org/officeDocument/2006/relationships/hyperlink" Target="http://www.sec.gov/Archives/edgar/data/1585608/000110465919063663/a19-22698_1ex10d1.htm" TargetMode="External"/><Relationship Id="rId158" Type="http://schemas.openxmlformats.org/officeDocument/2006/relationships/hyperlink" Target="http://www.sec.gov/Archives/edgar/data/1585608/000110465919076157/a19-26827_1ex10d1.htm" TargetMode="External"/><Relationship Id="rId159" Type="http://schemas.openxmlformats.org/officeDocument/2006/relationships/hyperlink" Target="http://www.sec.gov/Archives/edgar/data/1585608/000110465920027071/tm2011249d2_ex10-1.htm" TargetMode="External"/><Relationship Id="rId160" Type="http://schemas.openxmlformats.org/officeDocument/2006/relationships/hyperlink" Target="http://www.sec.gov/Archives/edgar/data/1585608/000110465920038877/tm2013507d1_ex10-1.htm" TargetMode="External"/><Relationship Id="rId161" Type="http://schemas.openxmlformats.org/officeDocument/2006/relationships/hyperlink" Target="http://www.sec.gov/Archives/edgar/data/1585608/000110465920038877/tm2013507d1_ex10-4.htm" TargetMode="External"/><Relationship Id="rId162" Type="http://schemas.openxmlformats.org/officeDocument/2006/relationships/hyperlink" Target="http://www.sec.gov/Archives/edgar/data/1585608/000110465920038877/tm2013507d1_ex10-5.htm" TargetMode="External"/><Relationship Id="rId163" Type="http://schemas.openxmlformats.org/officeDocument/2006/relationships/hyperlink" Target="http://www.sec.gov/Archives/edgar/data/1585608/000155837020003581/jagx-20191231ex10101a436.htm" TargetMode="External"/><Relationship Id="rId164" Type="http://schemas.openxmlformats.org/officeDocument/2006/relationships/hyperlink" Target="http://www.sec.gov/Archives/edgar/data/1585608/000110465920047211/a20-15990_1ex10d1.htm" TargetMode="External"/><Relationship Id="rId165" Type="http://schemas.openxmlformats.org/officeDocument/2006/relationships/hyperlink" Target="http://www.sec.gov/Archives/edgar/data/1585608/000110465920047211/a20-15990_1ex10d2.htm" TargetMode="External"/><Relationship Id="rId166" Type="http://schemas.openxmlformats.org/officeDocument/2006/relationships/hyperlink" Target="http://www.sec.gov/Archives/edgar/data/1585608/000110465920064444/tm2019077d3_ex10-1.htm" TargetMode="External"/><Relationship Id="rId167" Type="http://schemas.openxmlformats.org/officeDocument/2006/relationships/hyperlink" Target="http://www.sec.gov/Archives/edgar/data/1585608/000110465920064444/tm2019077d3_ex10-2.htm" TargetMode="External"/><Relationship Id="rId168" Type="http://schemas.openxmlformats.org/officeDocument/2006/relationships/hyperlink" Target="http://www.sec.gov/Archives/edgar/data/1585608/000110465920075302/a20-22810_1ex10d1.htm" TargetMode="External"/><Relationship Id="rId169" Type="http://schemas.openxmlformats.org/officeDocument/2006/relationships/hyperlink" Target="http://www.sec.gov/Archives/edgar/data/1585608/000110465920075302/a20-22810_1ex10d2.htm" TargetMode="External"/><Relationship Id="rId170" Type="http://schemas.openxmlformats.org/officeDocument/2006/relationships/hyperlink" Target="http://www.sec.gov/Archives/edgar/data/1585608/000110465920075302/a20-22810_1ex10d3.htm" TargetMode="External"/><Relationship Id="rId171" Type="http://schemas.openxmlformats.org/officeDocument/2006/relationships/hyperlink" Target="http://www.sec.gov/Archives/edgar/data/1585608/000110465920030255/tm2011911d1_ex10-1.htm" TargetMode="External"/><Relationship Id="rId172" Type="http://schemas.openxmlformats.org/officeDocument/2006/relationships/hyperlink" Target="http://www.sec.gov/Archives/edgar/data/1585608/000110465920083467/a20-24810_1ex10d1.htm" TargetMode="External"/><Relationship Id="rId173" Type="http://schemas.openxmlformats.org/officeDocument/2006/relationships/hyperlink" Target="http://www.sec.gov/Archives/edgar/data/1585608/000155837020010491/jagx-20200630ex1011b79cb.htm" TargetMode="External"/><Relationship Id="rId174" Type="http://schemas.openxmlformats.org/officeDocument/2006/relationships/hyperlink" Target="http://www.sec.gov/Archives/edgar/data/1585608/000155837020010491/jagx-20200630ex101286fcb.htm" TargetMode="External"/><Relationship Id="rId175" Type="http://schemas.openxmlformats.org/officeDocument/2006/relationships/hyperlink" Target="http://www.sec.gov/Archives/edgar/data/1585608/000155837020010491/jagx-20200630ex10134ea61.htm" TargetMode="External"/><Relationship Id="rId176" Type="http://schemas.openxmlformats.org/officeDocument/2006/relationships/hyperlink" Target="http://www.sec.gov/Archives/edgar/data/1585608/000110465920101650/a20-30008_1ex10d1.htm" TargetMode="External"/><Relationship Id="rId177" Type="http://schemas.openxmlformats.org/officeDocument/2006/relationships/hyperlink" Target="http://www.sec.gov/Archives/edgar/data/1585608/000110465920101650/a20-30008_1ex10d2.htm" TargetMode="External"/><Relationship Id="rId178" Type="http://schemas.openxmlformats.org/officeDocument/2006/relationships/hyperlink" Target="http://www.sec.gov/Archives/edgar/data/1585608/000110465920112859/a20-32587_2ex10d1.htm" TargetMode="External"/><Relationship Id="rId179" Type="http://schemas.openxmlformats.org/officeDocument/2006/relationships/hyperlink" Target="http://www.sec.gov/Archives/edgar/data/1585608/000110465920113922/a20-32792_2ex10d1.htm" TargetMode="External"/><Relationship Id="rId180" Type="http://schemas.openxmlformats.org/officeDocument/2006/relationships/hyperlink" Target="http://www.sec.gov/Archives/edgar/data/1585608/000110465920113939/a20-32792_4ex10d1.htm" TargetMode="External"/><Relationship Id="rId181" Type="http://schemas.openxmlformats.org/officeDocument/2006/relationships/hyperlink" Target="http://www.sec.gov/Archives/edgar/data/1585608/000110465920113939/a20-32792_4ex10d1.htm" TargetMode="External"/><Relationship Id="rId182" Type="http://schemas.openxmlformats.org/officeDocument/2006/relationships/hyperlink" Target="http://www.sec.gov/Archives/edgar/data/1585608/000110465920113939/a20-32792_4ex10d2.htm" TargetMode="External"/><Relationship Id="rId183" Type="http://schemas.openxmlformats.org/officeDocument/2006/relationships/hyperlink" Target="http://www.sec.gov/Archives/edgar/data/1585608/000155837020013865/jagx-20200930ex104d7a47b.htm" TargetMode="External"/><Relationship Id="rId184" Type="http://schemas.openxmlformats.org/officeDocument/2006/relationships/hyperlink" Target="http://www.sec.gov/Archives/edgar/data/1585608/000155837020013865/jagx-20200930ex105d6e75f.htm" TargetMode="External"/><Relationship Id="rId185" Type="http://schemas.openxmlformats.org/officeDocument/2006/relationships/hyperlink" Target="http://www.sec.gov/Archives/edgar/data/1585608/000155837020013865/jagx-20200930ex106bb794e.htm" TargetMode="External"/><Relationship Id="rId186" Type="http://schemas.openxmlformats.org/officeDocument/2006/relationships/hyperlink" Target="http://www.sec.gov/Archives/edgar/data/1585608/000110465920140185/a20-39439_2ex10d1.htm" TargetMode="External"/><Relationship Id="rId187" Type="http://schemas.openxmlformats.org/officeDocument/2006/relationships/hyperlink" Target="http://www.sec.gov/Archives/edgar/data/1585608/000110465921006714/a21-3691_1ex10d1.htm" TargetMode="External"/><Relationship Id="rId188" Type="http://schemas.openxmlformats.org/officeDocument/2006/relationships/hyperlink" Target="http://www.sec.gov/Archives/edgar/data/1585608/000110465921006714/a21-3691_1ex10d2.htm" TargetMode="External"/><Relationship Id="rId189" Type="http://schemas.openxmlformats.org/officeDocument/2006/relationships/hyperlink" Target="http://www.sec.gov/Archives/edgar/data/1585608/000155837021003811/jagx-20201231ex1067a0135.htm" TargetMode="External"/><Relationship Id="rId190" Type="http://schemas.openxmlformats.org/officeDocument/2006/relationships/hyperlink" Target="http://www.sec.gov/Archives/edgar/data/1585608/000110465921004040/a21-3060_1ex10d1.htm" TargetMode="External"/><Relationship Id="rId191" Type="http://schemas.openxmlformats.org/officeDocument/2006/relationships/hyperlink" Target="http://www.sec.gov/Archives/edgar/data/1585608/000110465921048158/tm2112320d1_ex10-1.htm" TargetMode="External"/><Relationship Id="rId192" Type="http://schemas.openxmlformats.org/officeDocument/2006/relationships/hyperlink" Target="http://www.sec.gov/Archives/edgar/data/1585608/000110465921048158/tm2112320d1_ex10-2.htm" TargetMode="External"/><Relationship Id="rId193" Type="http://schemas.openxmlformats.org/officeDocument/2006/relationships/hyperlink" Target="http://www.sec.gov/Archives/edgar/data/1585608/000110465921048158/tm2112320d1_ex10-3.htm" TargetMode="External"/><Relationship Id="rId194" Type="http://schemas.openxmlformats.org/officeDocument/2006/relationships/hyperlink" Target="http://www.sec.gov/Archives/edgar/data/1585608/000110465921059150/tm2114653d1_ex10-1.htm" TargetMode="External"/><Relationship Id="rId195" Type="http://schemas.openxmlformats.org/officeDocument/2006/relationships/hyperlink" Target="http://www.sec.gov/Archives/edgar/data/1585608/000110465921077122/tm2118428d1_ex10-1.htm" TargetMode="External"/><Relationship Id="rId196" Type="http://schemas.openxmlformats.org/officeDocument/2006/relationships/hyperlink" Target="http://www.sec.gov/Archives/edgar/data/1585608/000110465921109004/tm2125746d1_ex10-1.htm" TargetMode="External"/><Relationship Id="rId197" Type="http://schemas.openxmlformats.org/officeDocument/2006/relationships/hyperlink" Target="http://www.sec.gov/Archives/edgar/data/1585608/000110465921116919/tm2127647d1_ex10-1.htm" TargetMode="External"/><Relationship Id="rId198" Type="http://schemas.openxmlformats.org/officeDocument/2006/relationships/hyperlink" Target="http://www.sec.gov/Archives/edgar/data/1585608/000110465921148714/tm2135150d2_ex10-1.htm" TargetMode="External"/><Relationship Id="rId199" Type="http://schemas.openxmlformats.org/officeDocument/2006/relationships/hyperlink" Target="http://www.sec.gov/Archives/edgar/data/1585608/000110465922010921/tm225182d2_ex10-1.htm" TargetMode="External"/><Relationship Id="rId200" Type="http://schemas.openxmlformats.org/officeDocument/2006/relationships/hyperlink" Target="http://www.sec.gov/Archives/edgar/data/1585608/000110465922046478/tm2212799d1_ex10-1.htm" TargetMode="External"/><Relationship Id="rId201" Type="http://schemas.openxmlformats.org/officeDocument/2006/relationships/hyperlink" Target="http://www.sec.gov/Archives/edgar/data/1585608/000110465922046478/tm2212799d1_ex10-1.htm" TargetMode="External"/><Relationship Id="rId202" Type="http://schemas.openxmlformats.org/officeDocument/2006/relationships/hyperlink" Target="http://www.sec.gov/Archives/edgar/data/1585608/000110465922094064/tm2224333d2_ex10-1.htm" TargetMode="External"/><Relationship Id="rId203" Type="http://schemas.openxmlformats.org/officeDocument/2006/relationships/hyperlink" Target="http://www.sec.gov/Archives/edgar/data/1585608/000110465922075521/tm2219936d1_ex10-1.htm" TargetMode="External"/><Relationship Id="rId204" Type="http://schemas.openxmlformats.org/officeDocument/2006/relationships/hyperlink" Target="http://www.sec.gov/Archives/edgar/data/1585608/000110465922081211/tm2221453d1_ex10-1.htm" TargetMode="External"/><Relationship Id="rId205" Type="http://schemas.openxmlformats.org/officeDocument/2006/relationships/hyperlink" Target="http://www.sec.gov/Archives/edgar/data/1585608/000110465922081211/tm2221453d1_ex10-1.htm" TargetMode="External"/><Relationship Id="rId206" Type="http://schemas.openxmlformats.org/officeDocument/2006/relationships/hyperlink" Target="http://www.sec.gov/Archives/edgar/data/1585608/000110465922093712/tm2224333d1_ex10-1.htm" TargetMode="External"/><Relationship Id="rId207" Type="http://schemas.openxmlformats.org/officeDocument/2006/relationships/hyperlink" Target="http://www.sec.gov/Archives/edgar/data/1585608/000110465922093712/tm2224333d1_ex10-2.htm" TargetMode="External"/><Relationship Id="rId208" Type="http://schemas.openxmlformats.org/officeDocument/2006/relationships/hyperlink" Target="http://www.sec.gov/Archives/edgar/data/1585608/000110465922096057/tm2224757d1_ex10-1.htm" TargetMode="External"/><Relationship Id="rId209" Type="http://schemas.openxmlformats.org/officeDocument/2006/relationships/hyperlink" Target="http://www.sec.gov/Archives/edgar/data/1585608/000110465922108874/tm2228113d1_ex10-1.htm" TargetMode="External"/><Relationship Id="rId210" Type="http://schemas.openxmlformats.org/officeDocument/2006/relationships/hyperlink" Target="http://www.sec.gov/Archives/edgar/data/1585608/000110465922110606/tm2228519d1_ex10-1.htm" TargetMode="External"/><Relationship Id="rId211" Type="http://schemas.openxmlformats.org/officeDocument/2006/relationships/hyperlink" Target="http://www.sec.gov/Archives/edgar/data/1585608/000110465922119584/tm2229955d2_ex10-1.htm" TargetMode="External"/><Relationship Id="rId212" Type="http://schemas.openxmlformats.org/officeDocument/2006/relationships/hyperlink" Target="http://www.sec.gov/Archives/edgar/data/1585608/000110465922131393/tm2233668d1_ex10-1.htm" TargetMode="External"/><Relationship Id="rId213" Type="http://schemas.openxmlformats.org/officeDocument/2006/relationships/hyperlink" Target="http://www.sec.gov/Archives/edgar/data/1585608/000110465923011256/tm235360d1_ex10-1.htm" TargetMode="External"/><Relationship Id="rId214" Type="http://schemas.openxmlformats.org/officeDocument/2006/relationships/hyperlink" Target="http://www.sec.gov/Archives/edgar/data/1585608/000110465923057501/tm2315061d1_ex10-1.htm" TargetMode="External"/><Relationship Id="rId215" Type="http://schemas.openxmlformats.org/officeDocument/2006/relationships/hyperlink" Target="http://www.sec.gov/Archives/edgar/data/1585608/000110465923057501/tm2315061d1_ex10-2.htm" TargetMode="External"/><Relationship Id="rId216" Type="http://schemas.openxmlformats.org/officeDocument/2006/relationships/hyperlink" Target="http://www.sec.gov/Archives/edgar/data/1585608/000110465923062736/tm2315707d2_ex10-1.htm" TargetMode="External"/><Relationship Id="rId217" Type="http://schemas.openxmlformats.org/officeDocument/2006/relationships/hyperlink" Target="http://www.sec.gov/Archives/edgar/data/1585608/000110465923077663/tm2320100d1_ex10-1.htm" TargetMode="External"/><Relationship Id="rId218" Type="http://schemas.openxmlformats.org/officeDocument/2006/relationships/hyperlink" Target="http://www.sec.gov/Archives/edgar/data/1585608/000110465923077663/tm2320100d1_ex10-2.htm" TargetMode="External"/><Relationship Id="rId219" Type="http://schemas.openxmlformats.org/officeDocument/2006/relationships/hyperlink" Target="http://www.sec.gov/Archives/edgar/data/1585608/000155837023014683/jagx-20230630xex10d6.htm" TargetMode="External"/><Relationship Id="rId220" Type="http://schemas.openxmlformats.org/officeDocument/2006/relationships/hyperlink" Target="http://www.sec.gov/Archives/edgar/data/1585608/000155837023014683/jagx-20230630xex10d7.htm" TargetMode="External"/><Relationship Id="rId221" Type="http://schemas.openxmlformats.org/officeDocument/2006/relationships/hyperlink" Target="http://www.sec.gov/Archives/edgar/data/1585608/000110465923107248/tm2327745d1_ex10-1.htm" TargetMode="External"/><Relationship Id="rId222" Type="http://schemas.openxmlformats.org/officeDocument/2006/relationships/hyperlink" Target="http://www.sec.gov/Archives/edgar/data/1585608/000110465923122909/tm2330328d1_10-1.htm" TargetMode="External"/><Relationship Id="rId223" Type="http://schemas.openxmlformats.org/officeDocument/2006/relationships/hyperlink" Target="http://www.sec.gov/Archives/edgar/data/1585608/000110465923122909/tm2330328d1_10-2.htm" TargetMode="External"/><Relationship Id="rId224" Type="http://schemas.openxmlformats.org/officeDocument/2006/relationships/hyperlink" Target="http://www.sec.gov/Archives/edgar/data/1585608/000110465924030064/tm247635d1_ex10-1.htm" TargetMode="External"/><Relationship Id="rId225" Type="http://schemas.openxmlformats.org/officeDocument/2006/relationships/hyperlink" Target="http://www.sec.gov/Archives/edgar/data/1585608/000110465924030064/tm247635d1_ex10-2.htm" TargetMode="External"/><Relationship Id="rId226" Type="http://schemas.openxmlformats.org/officeDocument/2006/relationships/hyperlink" Target="http://www.sec.gov/Archives/edgar/data/1585608/000110465924064484/tm2415080d1_ex10-1.htm" TargetMode="External"/><Relationship Id="rId227" Type="http://schemas.openxmlformats.org/officeDocument/2006/relationships/hyperlink" Target="http://www.sec.gov/Archives/edgar/data/1585608/000110465924080659/tm2419713d1_ex10-1.htm" TargetMode="External"/><Relationship Id="rId228" Type="http://schemas.openxmlformats.org/officeDocument/2006/relationships/hyperlink" Target="http://www.sec.gov/Archives/edgar/data/1585608/000095017024126461/jagx-ex10_1.htm" TargetMode="External"/><Relationship Id="rId229" Type="http://schemas.openxmlformats.org/officeDocument/2006/relationships/hyperlink" Target="http://www.sec.gov/Archives/edgar/data/1585608/000119312525111996/d935311dex101.htm" TargetMode="External"/><Relationship Id="rId230" Type="http://schemas.openxmlformats.org/officeDocument/2006/relationships/hyperlink" Target="http://www.sec.gov/Archives/edgar/data/1585608/000110465924030064/tm247635d1_ex10-1.htm" TargetMode="External"/><Relationship Id="rId231" Type="http://schemas.openxmlformats.org/officeDocument/2006/relationships/hyperlink" Target="http://www.sec.gov/Archives/edgar/data/1585608/000095017025044842/jagx-ex10_1.htm" TargetMode="External"/><Relationship Id="rId232" Type="http://schemas.openxmlformats.org/officeDocument/2006/relationships/hyperlink" Target="http://www.sec.gov/Archives/edgar/data/1585608/000095017025044842/jagx-ex10_2.htm" TargetMode="External"/><Relationship Id="rId233" Type="http://schemas.openxmlformats.org/officeDocument/2006/relationships/hyperlink" Target="http://www.sec.gov/Archives/edgar/data/1585608/000119312525120763/d63848dex101.htm" TargetMode="External"/><Relationship Id="rId234" Type="http://schemas.openxmlformats.org/officeDocument/2006/relationships/hyperlink" Target="http://www.sec.gov/Archives/edgar/data/1585608/000119312525120763/d63848dex102.htm" TargetMode="External"/><Relationship Id="rId235" Type="http://schemas.openxmlformats.org/officeDocument/2006/relationships/hyperlink" Target="http://www.sec.gov/Archives/edgar/data/1585608/000119312525120763/d63848dex103.htm" TargetMode="External"/><Relationship Id="rId236" Type="http://schemas.openxmlformats.org/officeDocument/2006/relationships/hyperlink" Target="http://www.sec.gov/Archives/edgar/data/1585608/000119312525124500/d927226dex101.htm" TargetMode="External"/><Relationship Id="rId237" Type="http://schemas.openxmlformats.org/officeDocument/2006/relationships/hyperlink" Target="http://www.sec.gov/Archives/edgar/data/1585608/000119312525145742/d885397dex101.htm" TargetMode="External"/><Relationship Id="rId238" Type="http://schemas.openxmlformats.org/officeDocument/2006/relationships/hyperlink" Target="http://www.sec.gov/Archives/edgar/data/1585608/000119312525152345/d14926dex101.htm" TargetMode="External"/><Relationship Id="rId239" Type="http://schemas.openxmlformats.org/officeDocument/2006/relationships/hyperlink" Target="http://www.sec.gov/Archives/edgar/data/1585608/000119312525152345/d14926dex102.htm" TargetMode="External"/><Relationship Id="rId240" Type="http://schemas.openxmlformats.org/officeDocument/2006/relationships/hyperlink" Target="http://www.sec.gov/Archives/edgar/data/1585608/000119312525180438/d795256dex101.htm" TargetMode="External"/><Relationship Id="rId241" Type="http://schemas.openxmlformats.org/officeDocument/2006/relationships/hyperlink" Target="http://www.sec.gov/Archives/edgar/data/1585608/000119312525201351/d947025dex101.htm" TargetMode="External"/><Relationship Id="rId242" Type="http://schemas.openxmlformats.org/officeDocument/2006/relationships/hyperlink" Target="http://www.sec.gov/Archives/edgar/data/1585608/000119312525226788/d20552dex101.htm" TargetMode="External"/><Relationship Id="rId243" Type="http://schemas.openxmlformats.org/officeDocument/2006/relationships/hyperlink" Target="http://www.sec.gov/Archives/edgar/data/1585608/000155837019008174/jagx-20190630ex106ca3861.htm" TargetMode="External"/><Relationship Id="rId244" Type="http://schemas.openxmlformats.org/officeDocument/2006/relationships/hyperlink" Target="http://www.sec.gov/Archives/edgar/data/1585608/000119312525283139/d930413dex101.htm" TargetMode="External"/><Relationship Id="rId245" Type="http://schemas.openxmlformats.org/officeDocument/2006/relationships/hyperlink" Target="http://www.sec.gov/Archives/edgar/data/1585608/000119312525283139/d930413dex102.htm" TargetMode="External"/><Relationship Id="rId246" Type="http://schemas.openxmlformats.org/officeDocument/2006/relationships/hyperlink" Target="http://www.sec.gov/Archives/edgar/data/1585608/000119312525283139/d930413dex103.htm" TargetMode="External"/><Relationship Id="rId247" Type="http://schemas.openxmlformats.org/officeDocument/2006/relationships/hyperlink" Target="http://www.sec.gov/Archives/edgar/data/1585608/000119312525283139/d930413dex104.htm" TargetMode="External"/><Relationship Id="rId248" Type="http://schemas.openxmlformats.org/officeDocument/2006/relationships/hyperlink" Target="http://www.sec.gov/Archives/edgar/data/1585608/000119312525287650/jagx-ex10_1.htm" TargetMode="External"/><Relationship Id="rId249" Type="http://schemas.openxmlformats.org/officeDocument/2006/relationships/hyperlink" Target="http://www.sec.gov/Archives/edgar/data/1585608/000119312526144470/jagx-ex10_116.htm" TargetMode="External"/><Relationship Id="rId250" Type="http://schemas.openxmlformats.org/officeDocument/2006/relationships/hyperlink" Target="http://www.sec.gov/Archives/edgar/data/1585608/000119312526144470/jagx-ex10_117.htm" TargetMode="External"/><Relationship Id="rId251" Type="http://schemas.openxmlformats.org/officeDocument/2006/relationships/hyperlink" Target="http://www.sec.gov/Archives/edgar/data/1585608/000119312526009221/jagx-ex10_1.htm" TargetMode="External"/><Relationship Id="rId252" Type="http://schemas.openxmlformats.org/officeDocument/2006/relationships/hyperlink" Target="http://www.sec.gov/Archives/edgar/data/1585608/000119312526014231/jagx-ex10_1.htm" TargetMode="External"/><Relationship Id="rId253" Type="http://schemas.openxmlformats.org/officeDocument/2006/relationships/hyperlink" Target="http://www.sec.gov/Archives/edgar/data/1585608/000119312526014231/jagx-ex10_2.htm" TargetMode="External"/><Relationship Id="rId254" Type="http://schemas.openxmlformats.org/officeDocument/2006/relationships/hyperlink" Target="http://www.sec.gov/Archives/edgar/data/1585608/000119312526021064/jagx-ex10_1.htm" TargetMode="External"/><Relationship Id="rId255" Type="http://schemas.openxmlformats.org/officeDocument/2006/relationships/hyperlink" Target="http://www.sec.gov/Archives/edgar/data/1585608/000119312526021064/jagx-ex10_2.htm" TargetMode="External"/><Relationship Id="rId256" Type="http://schemas.openxmlformats.org/officeDocument/2006/relationships/hyperlink" Target="http://www.sec.gov/Archives/edgar/data/1585608/000119312526021064/jagx-ex10_3.htm" TargetMode="External"/><Relationship Id="rId257" Type="http://schemas.openxmlformats.org/officeDocument/2006/relationships/hyperlink" Target="http://www.sec.gov/Archives/edgar/data/1585608/000119312526021064/jagx-ex10_4.htm" TargetMode="External"/><Relationship Id="rId258" Type="http://schemas.openxmlformats.org/officeDocument/2006/relationships/hyperlink" Target="http://www.sec.gov/Archives/edgar/data/1585608/000119312526021064/jagx-ex10_5.htm" TargetMode="External"/><Relationship Id="rId259" Type="http://schemas.openxmlformats.org/officeDocument/2006/relationships/hyperlink" Target="http://www.sec.gov/Archives/edgar/data/1585608/000119312526021064/jagx-ex10_6.htm" TargetMode="External"/><Relationship Id="rId260" Type="http://schemas.openxmlformats.org/officeDocument/2006/relationships/hyperlink" Target="http://www.sec.gov/Archives/edgar/data/1585608/000119312526097700/d89977dex101.htm" TargetMode="External"/><Relationship Id="rId261" Type="http://schemas.openxmlformats.org/officeDocument/2006/relationships/hyperlink" Target="http://www.sec.gov/Archives/edgar/data/1585608/000119312526097700/d89977dex102.htm" TargetMode="External"/><Relationship Id="rId262" Type="http://schemas.openxmlformats.org/officeDocument/2006/relationships/hyperlink" Target="http://www.sec.gov/Archives/edgar/data/1585608/000119312526266770/d570985dex101.htm" TargetMode="External"/><Relationship Id="rId263" Type="http://schemas.openxmlformats.org/officeDocument/2006/relationships/hyperlink" Target="http://www.sec.gov/Archives/edgar/data/1585608/000119312526266770/d570985dex102.htm" TargetMode="External"/><Relationship Id="rId264" Type="http://schemas.openxmlformats.org/officeDocument/2006/relationships/hyperlink" Target="http://www.sec.gov/Archives/edgar/data/1585608/000119312526266770/d570985dex103.htm" TargetMode="External"/><Relationship Id="rId265" Type="http://schemas.openxmlformats.org/officeDocument/2006/relationships/hyperlink" Target="http://www.sec.gov/Archives/edgar/data/1585608/000119312526266770/d570985dex104.htm" TargetMode="External"/><Relationship Id="rId266" Type="http://schemas.openxmlformats.org/officeDocument/2006/relationships/hyperlink" Target="http://www.sec.gov/Archives/edgar/data/1585608/000119312526276103/d111863dex101.htm" TargetMode="External"/><Relationship Id="rId267" Type="http://schemas.openxmlformats.org/officeDocument/2006/relationships/hyperlink" Target="http://www.sec.gov/Archives/edgar/data/1585608/000119312526276103/d111863dex102.htm" TargetMode="External"/><Relationship Id="rId268" Type="http://schemas.openxmlformats.org/officeDocument/2006/relationships/hyperlink" Target="http://www.sec.gov/Archives/edgar/data/1585608/000119312526276103/d111863dex103.htm" TargetMode="External"/><Relationship Id="rId269" Type="http://schemas.openxmlformats.org/officeDocument/2006/relationships/hyperlink" Target="http://www.sec.gov/Archives/edgar/data/1585608/000119312526281969/d110630dex101.htm" TargetMode="External"/><Relationship Id="rId270" Type="http://schemas.openxmlformats.org/officeDocument/2006/relationships/hyperlink" Target="http://www.sec.gov/Archives/edgar/data/1585608/000119312526144470/jagx-ex21_1.htm" TargetMode="External"/><Relationship Id="rId271" Type="http://schemas.openxmlformats.org/officeDocument/2006/relationships/image" Target="media/image3.jpeg"/><Relationship Id="rId272" Type="http://schemas.openxmlformats.org/officeDocument/2006/relationships/image" Target="media/image3.jpeg"/><Relationship Id="rId273" Type="http://schemas.openxmlformats.org/officeDocument/2006/relationships/image" Target="media/image4.jpeg"/><Relationship Id="rId274" Type="http://schemas.openxmlformats.org/officeDocument/2006/relationships/fontTable" Target="fontTable.xml"/><Relationship Id="rId2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34578</Words>
  <Characters>184377</Characters>
  <CharactersWithSpaces>219484</CharactersWithSpaces>
  <Paragraphs>2069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