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JAGUAR HEALTH,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001-36714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46-2956775</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60"/>
          </w:cols>
          <w:pgMar w:left="240" w:top="544" w:right="299" w:bottom="1440" w:gutter="0" w:footer="0" w:header="0"/>
          <w:type w:val="continuous"/>
        </w:sectPr>
      </w:pPr>
    </w:p>
    <w:p>
      <w:pPr>
        <w:spacing w:after="0" w:line="21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201 Mission Street, Suite 2375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Francisco, California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94105</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(415) 371-8300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January 7, 2019, Jaguar Health, Inc. (“Jaguar” or the “Company”) entered into a common stock purchase agreement (the “CSPA”) with Oasis Capital, LLC, a Puerto Rico limited liability company (“Oasis Capital”), relating to an offering (the “Equity Line Offering”) of an aggregate of up to 5,633,333 shares (the “Shares”) of the Company’s voting common stock, par value $0.0001 per share (the “Common Stock”), of which 5,333,333 of such Shares are being offered in an indirect primary offering consisting of an equity line of credit. The Equity Line Offering is being made pursuant to the Registration Statement and the related base prospectus included in the Registration Statement, as supplemented by a separate prospectus supplement dated January 8, 2019.</w:t>
      </w:r>
    </w:p>
    <w:p>
      <w:pPr>
        <w:spacing w:after="0" w:line="15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will issue 300,000 shares of Common Stock (the “Commitment Shares”) to Oasis Capital as an inducement to enter into the CSPA on the effective date of the CSPA. Additionally, under the terms of the CSPA, the Company has the right to “put,” or sell, up to 5,333,333 shares of Common Stock (the “Purchase Shares”) to Oasis Capital for an Investment Amount (as defined below and subject to adjustment) at a fixed price of $0.75 per share or such other price agreed upon between the Company and Oasis Capital (the “Purchase Price”).</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From time to time over the term of the CSPA, and at the Company’s sole discretion, the Company may direct Oasis Capital to purchase the Purchase Shares by presenting Oasis Capital with purchase notices (“Purchase Notices”) specifying a number of Purchase Shares to be purchased by Oasis Capital pursuant to the terms of the CSPA. Each Purchase Notice shall require Oasis Capital to purchase Shares equal to the lesser of (a) 500,000 shares or (b) 200% of the average trading volume of the Common Stock in the 5 trading days immediately preceding the applicable Purchase Date (each such purchase, a “Regular Purchase”). The “Purchase Date” means with respect to any Regular Purchase, the business day that the respective portion of the Purchase Shares are reflected in Oasis Capital’s account. Each such purchase of Purchase Shares will have an individual closing within one trading day following the receipt of the Purchase Shares for the applicable Purchase Notice.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Purchase Shares that are the subject of any Purchase Notice, Oasis Capital shall deliver to the Company an amount equal to the product of</w:t>
      </w:r>
    </w:p>
    <w:p>
      <w:pPr>
        <w:spacing w:after="0" w:line="46" w:lineRule="exact"/>
        <w:rPr>
          <w:sz w:val="20"/>
          <w:szCs w:val="20"/>
          <w:color w:val="auto"/>
        </w:rPr>
      </w:pPr>
    </w:p>
    <w:p>
      <w:pPr>
        <w:ind w:right="58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Purchase Price and (y) the number of Purchase Shares set forth on such Purchase Notice, minus deposit and clearing costs associated with such purchase. Any proceeds that the Company receives under the CSPA are expected to be used for general corporate purposes and working capital. The transaction expenses associated with the Equity Line Offering are anticipated to be approximately $40,000.</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may issue Purchase Shares at any time on or after the date of the CSPA until the date on which Oasis Capital has purchased 5,333,333 Purchase Shares, unless the CSPA is terminated earlier in accordance with its terms; provided, that, the Company is not permitted to submit more than one Purchase Notice to Oasis Capital in any 3 trading day period without Oasis Capital’s consent. Further, the number of Purchase Shares to be purchased by Oasis Capital may not exceed the number of shares that, when added to the number of shares of the Common Stock then beneficially owned by Oasis Capital, would exceed 4.99% of the shares of Common Stock outstanding. Additionally, the Company is not required to deliver Purchase Shares, and Oasis Capital is not entitled to receive such Purchase Shares, if the issuance of such Purchase Shares would exceed the aggregate number of shares of the Common Stock that the Company may issue without breaching our obligations under the rules or regulations of the NASDAQ Capital Market. The Company has the option to increase the equity line of credit by an additional 8,000,000 shares of Common Stock by notifying Oasis Capital at any time after the effective date of the CSPA.</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regard to the purchase and resale of the Purchase Shares, Oasis Capital is an “underwriter” within the meaning of the Securities Act of 1933, as amended (the “Securities Act”). Any broker-dealers or agents that are involved in resales of Purchase Shares may be deemed “underwriters.” The Company will receive proceeds from the sale of the Purchase Shares directly to Oasis Capital pursuant to the CSPA; however the Company will not receive any proceeds from the resale of the Purchase Shares by Oasis Capital thereafter. We are not paying any underwriting discounts or commissions.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CSPA contains customary representations, warranties and agreements by the Company, customary conditions to closing, indemnification obligations of the Company, including for liabilities under the Securities Act, other obligations of the parties and termination provisions. The representations, warranties and covenants contained in this agreement were made only for purposes of such agreement and as of specific dates, were solely for the benefit of the parties to such agreement, and may be subject to limitations agreed upon by the contracting parties.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terms and conditions of the CSPA is not complete and is qualified in its entirety by the full text of the CSPA, which is filed herewith as Exhibit 10.1 and incorporated into this Item 1.01 by reference.</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legal opinion and consent of Reed Smith LLP addressing the validity of the securities issued in connection with the Equity Line Offering are filed as Exhibit 5.1 and Exhibit 23.1, respectively, to this Current Report on Form 8-K and are incorporated into the Registration Statement.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January 7, 2019, the Company issued a press release announcing fourth quarter 2018 commercial sales updates. A copy of the press release is furnished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 on 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Current Report on Form 8-K contains “forward-looking statements” within the meaning of section 27A of the Securities Act of 1933 and section 21E of the Securities Exchange Act of 1934. These include statements regarding the use of proceeds from the offerings.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The Company has based these forward-looking statements largely on its current expectations and projections about future events. These forward-looking statements speak only as of the date of this release and are subject to a number of risks, uncertainties and assumptions, some of which cannot be predicted or quantified and some of which are beyond the Company’s control. Except as required by applicable law, the Company does not plan to publicly update or revise any forward-looking statements contained herein, whether as a result of any new information, future events, changed circumstances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i w:val="1"/>
          <w:iCs w:val="1"/>
          <w:color w:val="auto"/>
        </w:rPr>
        <w:t>(d)</w:t>
      </w:r>
      <w:r>
        <w:rPr>
          <w:sz w:val="20"/>
          <w:szCs w:val="20"/>
          <w:color w:val="auto"/>
        </w:rPr>
        <w:tab/>
      </w:r>
      <w:r>
        <w:rPr>
          <w:rFonts w:ascii="Arial" w:cs="Arial" w:eastAsia="Arial" w:hAnsi="Arial"/>
          <w:sz w:val="16"/>
          <w:szCs w:val="16"/>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5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5.1</w:t>
            </w:r>
          </w:p>
        </w:tc>
        <w:tc>
          <w:tcPr>
            <w:tcW w:w="3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Opinion of Reed Smith LLP</w:t>
              </w:r>
            </w:hyperlink>
          </w:p>
        </w:tc>
        <w:tc>
          <w:tcPr>
            <w:tcW w:w="7880" w:type="dxa"/>
            <w:vAlign w:val="bottom"/>
            <w:tcBorders>
              <w:top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Common Stock Purchase Agreement, dated January 7, 2019, by and between Jaguar Health, Inc. and Oasis Capital, LLC</w:t>
              </w:r>
            </w:hyperlink>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23.1</w:t>
            </w:r>
          </w:p>
        </w:tc>
        <w:tc>
          <w:tcPr>
            <w:tcW w:w="340" w:type="dxa"/>
            <w:vAlign w:val="bottom"/>
          </w:tcPr>
          <w:p>
            <w:pPr>
              <w:spacing w:after="0"/>
              <w:rPr>
                <w:sz w:val="17"/>
                <w:szCs w:val="17"/>
                <w:color w:val="auto"/>
              </w:rPr>
            </w:pPr>
          </w:p>
        </w:tc>
        <w:tc>
          <w:tcPr>
            <w:tcW w:w="992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Consent of Reed Smith LLP (included in Exhibit 5.1 hereto)</w:t>
              </w:r>
            </w:hyperlink>
          </w:p>
        </w:tc>
        <w:tc>
          <w:tcPr>
            <w:tcW w:w="40" w:type="dxa"/>
            <w:vAlign w:val="bottom"/>
          </w:tcPr>
          <w:p>
            <w:pPr>
              <w:spacing w:after="0"/>
              <w:rPr>
                <w:sz w:val="17"/>
                <w:szCs w:val="17"/>
                <w:color w:val="auto"/>
              </w:rPr>
            </w:pPr>
          </w:p>
        </w:tc>
      </w:tr>
      <w:tr>
        <w:trPr>
          <w:trHeight w:val="196"/>
        </w:trPr>
        <w:tc>
          <w:tcPr>
            <w:tcW w:w="11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17"/>
                <w:szCs w:val="17"/>
                <w:color w:val="auto"/>
              </w:rPr>
            </w:pPr>
          </w:p>
        </w:tc>
        <w:tc>
          <w:tcPr>
            <w:tcW w:w="4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Press Release, dated January 7, 2019.</w:t>
              </w:r>
            </w:hyperlink>
          </w:p>
        </w:tc>
        <w:tc>
          <w:tcPr>
            <w:tcW w:w="5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2680" w:type="dxa"/>
            <w:vAlign w:val="bottom"/>
            <w:tcBorders>
              <w:top w:val="single" w:sz="8" w:color="0000EE"/>
            </w:tcBorders>
            <w:gridSpan w:val="2"/>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4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3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23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80"/>
              <w:spacing w:after="0"/>
              <w:rPr>
                <w:sz w:val="20"/>
                <w:szCs w:val="20"/>
                <w:color w:val="auto"/>
              </w:rPr>
            </w:pPr>
            <w:r>
              <w:rPr>
                <w:rFonts w:ascii="Arial" w:cs="Arial" w:eastAsia="Arial" w:hAnsi="Arial"/>
                <w:sz w:val="18"/>
                <w:szCs w:val="18"/>
                <w:b w:val="1"/>
                <w:bCs w:val="1"/>
                <w:color w:val="auto"/>
              </w:rPr>
              <w:t>JAGUAR HEALTH, INC.</w:t>
            </w:r>
          </w:p>
        </w:tc>
        <w:tc>
          <w:tcPr>
            <w:tcW w:w="40" w:type="dxa"/>
            <w:vAlign w:val="bottom"/>
          </w:tcPr>
          <w:p>
            <w:pPr>
              <w:spacing w:after="0"/>
              <w:rPr>
                <w:sz w:val="20"/>
                <w:szCs w:val="20"/>
                <w:color w:val="auto"/>
              </w:rPr>
            </w:pPr>
          </w:p>
        </w:tc>
      </w:tr>
      <w:tr>
        <w:trPr>
          <w:trHeight w:val="648"/>
        </w:trPr>
        <w:tc>
          <w:tcPr>
            <w:tcW w:w="3800" w:type="dxa"/>
            <w:vAlign w:val="bottom"/>
          </w:tcPr>
          <w:p>
            <w:pPr>
              <w:ind w:left="340"/>
              <w:spacing w:after="0"/>
              <w:rPr>
                <w:sz w:val="20"/>
                <w:szCs w:val="20"/>
                <w:color w:val="auto"/>
              </w:rPr>
            </w:pPr>
            <w:r>
              <w:rPr>
                <w:rFonts w:ascii="Arial" w:cs="Arial" w:eastAsia="Arial" w:hAnsi="Arial"/>
                <w:sz w:val="18"/>
                <w:szCs w:val="18"/>
                <w:color w:val="auto"/>
              </w:rPr>
              <w:t>Date: January 8, 2019</w:t>
            </w:r>
          </w:p>
        </w:tc>
        <w:tc>
          <w:tcPr>
            <w:tcW w:w="2680" w:type="dxa"/>
            <w:vAlign w:val="bottom"/>
          </w:tcPr>
          <w:p>
            <w:pPr>
              <w:ind w:left="19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S. Wright</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680" w:type="dxa"/>
            <w:vAlign w:val="bottom"/>
          </w:tcPr>
          <w:p>
            <w:pPr>
              <w:ind w:left="19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Karen S. Wright</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680" w:type="dxa"/>
            <w:vAlign w:val="bottom"/>
          </w:tcPr>
          <w:p>
            <w:pPr>
              <w:ind w:left="186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3759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7590" cy="1803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 Second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1800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San Francisco, CA 94105-3659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+1 415 543 8700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+1 415 391 8269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reedsmith.com</w:t>
      </w:r>
    </w:p>
    <w:p>
      <w:pPr>
        <w:spacing w:after="0" w:line="211"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January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Jaguar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Mission Street, Suite 2375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acted as counsel to Jaguar Health, Inc. (f/k/a Jaguar Animal Health,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offer and sale by the Company of an aggregate of up to 5,633,333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voting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pursuant to the Company’s effective Registration Statement on Form S-3 (File No. 333-220236)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sale of the Shares as set forth in a prospectus supplement dated January 8, 2019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and the accompanying prospectus dated September 14, 2017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All of the Shares are to be sold by the Company pursuant to the Common Stock Purchase Agreement, dated January 7, 2019, between Oasis Capital, LLC and the Company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w:t>
      </w:r>
    </w:p>
    <w:p>
      <w:pPr>
        <w:spacing w:after="0" w:line="178"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In rendering the opinion set forth herein, we have examined originals or copies, certified or otherwise identified to our satisfaction, of such documents, corporate records, certificates of public officials and other instruments as we have deemed necessary or advisable.</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such examination,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that we did not independently establish or verify, we have relied upon statements and representations of officers and other representatives of the Company and public officials.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opinion is based solely on the General Corporation Law of the State of Delaware.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ind w:right="680" w:firstLine="656"/>
        <w:spacing w:after="0" w:line="277" w:lineRule="auto"/>
        <w:tabs>
          <w:tab w:leader="none" w:pos="9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300,000 shares of Common Stock issued and sold to Oasis Capital under the Purchase Agreement have been duly authorized by the Company and are validly issued, fully paid and non-assessable; and</w:t>
      </w:r>
    </w:p>
    <w:p>
      <w:pPr>
        <w:spacing w:after="0" w:line="170" w:lineRule="exact"/>
        <w:rPr>
          <w:rFonts w:ascii="Arial" w:cs="Arial" w:eastAsia="Arial" w:hAnsi="Arial"/>
          <w:sz w:val="18"/>
          <w:szCs w:val="18"/>
          <w:color w:val="auto"/>
        </w:rPr>
      </w:pPr>
    </w:p>
    <w:p>
      <w:pPr>
        <w:ind w:right="360" w:firstLine="656"/>
        <w:spacing w:after="0" w:line="308" w:lineRule="auto"/>
        <w:tabs>
          <w:tab w:leader="none" w:pos="996" w:val="left"/>
        </w:tabs>
        <w:numPr>
          <w:ilvl w:val="0"/>
          <w:numId w:val="3"/>
        </w:numPr>
        <w:rPr>
          <w:rFonts w:ascii="Arial" w:cs="Arial" w:eastAsia="Arial" w:hAnsi="Arial"/>
          <w:sz w:val="17"/>
          <w:szCs w:val="17"/>
          <w:color w:val="auto"/>
        </w:rPr>
      </w:pPr>
      <w:r>
        <w:rPr>
          <w:rFonts w:ascii="Arial" w:cs="Arial" w:eastAsia="Arial" w:hAnsi="Arial"/>
          <w:sz w:val="17"/>
          <w:szCs w:val="17"/>
          <w:color w:val="auto"/>
        </w:rPr>
        <w:t>5,333,333 shares of Common Stock have been duly authorized for issuance and, when issued, delivered and paid for in accordance with the terms of the Purchase Agreement, including receipt of the consideration therefor, will be validly issued, fully paid and nonassessable.</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consent to the inclusion of this opinion as an exhibit to the Company’s Current Report on Form 8-K filed on January 8, 2019 and further consent to all references to us under the caption “Legal Matters” in the Prospectus Supplement and Prospectus constituting a part of the Registration Statement. In giving this consent, we do not admit that we are in the category of persons whose consent is required under Section 7 of the Securities Act or the rules and regulations of the Commission.</w:t>
      </w:r>
    </w:p>
    <w:p>
      <w:pPr>
        <w:spacing w:after="0" w:line="200" w:lineRule="exact"/>
        <w:rPr>
          <w:sz w:val="20"/>
          <w:szCs w:val="20"/>
          <w:color w:val="auto"/>
        </w:rPr>
      </w:pP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REED SMITH LLP</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78"/>
        <w:spacing w:after="0"/>
        <w:rPr>
          <w:sz w:val="20"/>
          <w:szCs w:val="20"/>
          <w:color w:val="auto"/>
        </w:rPr>
      </w:pPr>
      <w:r>
        <w:rPr>
          <w:rFonts w:ascii="Arial" w:cs="Arial" w:eastAsia="Arial" w:hAnsi="Arial"/>
          <w:sz w:val="18"/>
          <w:szCs w:val="18"/>
          <w:b w:val="1"/>
          <w:bCs w:val="1"/>
          <w:color w:val="auto"/>
        </w:rPr>
        <w:t>COMMON STOCK PURCHASE AGREEMENT</w:t>
      </w:r>
    </w:p>
    <w:p>
      <w:pPr>
        <w:spacing w:after="0" w:line="225" w:lineRule="exact"/>
        <w:rPr>
          <w:sz w:val="20"/>
          <w:szCs w:val="20"/>
          <w:color w:val="auto"/>
        </w:rPr>
      </w:pPr>
    </w:p>
    <w:p>
      <w:pPr>
        <w:ind w:left="2" w:right="20" w:firstLine="440"/>
        <w:spacing w:after="0" w:line="266" w:lineRule="auto"/>
        <w:rPr>
          <w:sz w:val="20"/>
          <w:szCs w:val="20"/>
          <w:color w:val="auto"/>
        </w:rPr>
      </w:pPr>
      <w:r>
        <w:rPr>
          <w:rFonts w:ascii="Arial" w:cs="Arial" w:eastAsia="Arial" w:hAnsi="Arial"/>
          <w:sz w:val="18"/>
          <w:szCs w:val="18"/>
          <w:b w:val="1"/>
          <w:bCs w:val="1"/>
          <w:color w:val="auto"/>
        </w:rPr>
        <w:t xml:space="preserve">THIS COMMON STOCK PURCHASE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7, 2019, is entered into by and between</w:t>
      </w:r>
      <w:r>
        <w:rPr>
          <w:rFonts w:ascii="Arial" w:cs="Arial" w:eastAsia="Arial" w:hAnsi="Arial"/>
          <w:sz w:val="18"/>
          <w:szCs w:val="18"/>
          <w:b w:val="1"/>
          <w:bCs w:val="1"/>
          <w:color w:val="auto"/>
        </w:rPr>
        <w:t xml:space="preserve"> JAGUAR HEALTH,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r>
        <w:rPr>
          <w:rFonts w:ascii="Arial" w:cs="Arial" w:eastAsia="Arial" w:hAnsi="Arial"/>
          <w:sz w:val="18"/>
          <w:szCs w:val="18"/>
          <w:b w:val="1"/>
          <w:bCs w:val="1"/>
          <w:color w:val="auto"/>
        </w:rPr>
        <w:t xml:space="preserve"> OASIS CAPITAL, LLC</w:t>
      </w:r>
      <w:r>
        <w:rPr>
          <w:rFonts w:ascii="Arial" w:cs="Arial" w:eastAsia="Arial" w:hAnsi="Arial"/>
          <w:sz w:val="18"/>
          <w:szCs w:val="18"/>
          <w:color w:val="auto"/>
        </w:rPr>
        <w:t>, a Puerto Rico limited liability company (the “</w:t>
      </w:r>
      <w:r>
        <w:rPr>
          <w:rFonts w:ascii="Arial" w:cs="Arial" w:eastAsia="Arial" w:hAnsi="Arial"/>
          <w:sz w:val="18"/>
          <w:szCs w:val="18"/>
          <w:b w:val="1"/>
          <w:bCs w:val="1"/>
          <w:color w:val="auto"/>
        </w:rPr>
        <w:t>Buyer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Capitalized terms used herein and not otherwise defined herein are defined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w:t>
      </w:r>
    </w:p>
    <w:p>
      <w:pPr>
        <w:spacing w:after="0" w:line="176" w:lineRule="exact"/>
        <w:rPr>
          <w:sz w:val="20"/>
          <w:szCs w:val="20"/>
          <w:color w:val="auto"/>
        </w:rPr>
      </w:pPr>
    </w:p>
    <w:p>
      <w:pPr>
        <w:jc w:val="center"/>
        <w:ind w:right="78"/>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2" w:right="220" w:firstLine="440"/>
        <w:spacing w:after="0" w:line="342" w:lineRule="auto"/>
        <w:rPr>
          <w:sz w:val="20"/>
          <w:szCs w:val="20"/>
          <w:color w:val="auto"/>
        </w:rPr>
      </w:pPr>
      <w:r>
        <w:rPr>
          <w:rFonts w:ascii="Arial" w:cs="Arial" w:eastAsia="Arial" w:hAnsi="Arial"/>
          <w:sz w:val="16"/>
          <w:szCs w:val="16"/>
          <w:color w:val="auto"/>
        </w:rPr>
        <w:t>Subject to the terms and conditions set forth in this Agreement, the Company wishes to sell to the Buyer, and the Buyer wishes to buy from the Company, up to 5,333,333 shares of the Company’s voting common stock (the “</w:t>
      </w:r>
      <w:r>
        <w:rPr>
          <w:rFonts w:ascii="Arial" w:cs="Arial" w:eastAsia="Arial" w:hAnsi="Arial"/>
          <w:sz w:val="16"/>
          <w:szCs w:val="16"/>
          <w:b w:val="1"/>
          <w:bCs w:val="1"/>
          <w:color w:val="auto"/>
        </w:rPr>
        <w:t>Purchase Shares</w:t>
      </w:r>
      <w:r>
        <w:rPr>
          <w:rFonts w:ascii="Arial" w:cs="Arial" w:eastAsia="Arial" w:hAnsi="Arial"/>
          <w:sz w:val="16"/>
          <w:szCs w:val="16"/>
          <w:color w:val="auto"/>
        </w:rPr>
        <w:t>”),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w:t>
      </w:r>
    </w:p>
    <w:p>
      <w:pPr>
        <w:spacing w:after="0" w:line="120" w:lineRule="exact"/>
        <w:rPr>
          <w:sz w:val="20"/>
          <w:szCs w:val="20"/>
          <w:color w:val="auto"/>
        </w:rPr>
      </w:pPr>
    </w:p>
    <w:p>
      <w:pPr>
        <w:ind w:left="442"/>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Buyer hereby agree as follows:</w:t>
      </w:r>
    </w:p>
    <w:p>
      <w:pPr>
        <w:spacing w:after="0" w:line="225" w:lineRule="exact"/>
        <w:rPr>
          <w:sz w:val="20"/>
          <w:szCs w:val="20"/>
          <w:color w:val="auto"/>
        </w:rPr>
      </w:pPr>
    </w:p>
    <w:p>
      <w:pPr>
        <w:ind w:left="682" w:hanging="345"/>
        <w:spacing w:after="0"/>
        <w:tabs>
          <w:tab w:leader="none" w:pos="68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COMMON STOCK.</w:t>
      </w:r>
    </w:p>
    <w:p>
      <w:pPr>
        <w:spacing w:after="0" w:line="229" w:lineRule="exact"/>
        <w:rPr>
          <w:sz w:val="20"/>
          <w:szCs w:val="20"/>
          <w:color w:val="auto"/>
        </w:rPr>
      </w:pPr>
    </w:p>
    <w:p>
      <w:pPr>
        <w:ind w:left="2" w:right="360" w:firstLine="440"/>
        <w:spacing w:after="0" w:line="277" w:lineRule="auto"/>
        <w:rPr>
          <w:sz w:val="20"/>
          <w:szCs w:val="20"/>
          <w:color w:val="auto"/>
        </w:rPr>
      </w:pPr>
      <w:r>
        <w:rPr>
          <w:rFonts w:ascii="Arial" w:cs="Arial" w:eastAsia="Arial" w:hAnsi="Arial"/>
          <w:sz w:val="18"/>
          <w:szCs w:val="18"/>
          <w:color w:val="auto"/>
        </w:rPr>
        <w:t>Subject to the terms and conditions set forth in this Agreement, the Company has the right to sell to the Buyer, and the Buyer has the obligation to purchase from the Company, Purchase Shares as follows:</w:t>
      </w:r>
    </w:p>
    <w:p>
      <w:pPr>
        <w:spacing w:after="0" w:line="170" w:lineRule="exact"/>
        <w:rPr>
          <w:sz w:val="20"/>
          <w:szCs w:val="20"/>
          <w:color w:val="auto"/>
        </w:rPr>
      </w:pPr>
    </w:p>
    <w:p>
      <w:pPr>
        <w:ind w:left="2" w:firstLine="439"/>
        <w:spacing w:after="0" w:line="271" w:lineRule="auto"/>
        <w:tabs>
          <w:tab w:leader="none" w:pos="710"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Commencement of Purchases of Common Stock</w:t>
      </w:r>
      <w:r>
        <w:rPr>
          <w:rFonts w:ascii="Arial" w:cs="Arial" w:eastAsia="Arial" w:hAnsi="Arial"/>
          <w:sz w:val="17"/>
          <w:szCs w:val="17"/>
          <w:color w:val="auto"/>
        </w:rPr>
        <w:t xml:space="preserve">. After Commencement (as defined below), the Buyer may purchase the Purchase Shares, pursuant to the terms of this Agreement. At the time of each respective purchase hereunder, Buyer shall pay to the Company the respective purchase price at the time that the respective portion of the Purchase Shares are reflected in the Buyer’s brokerage account, via wire transfer, according to the wiring instructions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(if this occurs after the wire cutoff time for Buyer’s bank, then Buyer shall pay the respective purchase price on immediately following Business Day). Upon issuance of the Purchase Shares as provided herein, such Purchase Shares shall be validly issued and fully paid and non-assessable. The purchase and sale of Purchase Shares hereunder shall occur from time to time upon written notices by the Company to the Buyer on the terms and conditions as set forth herein following the satisfaction of the conditions (the “</w:t>
      </w:r>
      <w:r>
        <w:rPr>
          <w:rFonts w:ascii="Arial" w:cs="Arial" w:eastAsia="Arial" w:hAnsi="Arial"/>
          <w:sz w:val="17"/>
          <w:szCs w:val="17"/>
          <w:b w:val="1"/>
          <w:bCs w:val="1"/>
          <w:color w:val="auto"/>
        </w:rPr>
        <w:t>Commencement”</w:t>
      </w:r>
      <w:r>
        <w:rPr>
          <w:rFonts w:ascii="Arial" w:cs="Arial" w:eastAsia="Arial" w:hAnsi="Arial"/>
          <w:sz w:val="17"/>
          <w:szCs w:val="17"/>
          <w:color w:val="auto"/>
        </w:rPr>
        <w:t xml:space="preserve">) as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below (the date of satisfaction of such conditions, the “</w:t>
      </w:r>
      <w:r>
        <w:rPr>
          <w:rFonts w:ascii="Arial" w:cs="Arial" w:eastAsia="Arial" w:hAnsi="Arial"/>
          <w:sz w:val="17"/>
          <w:szCs w:val="17"/>
          <w:b w:val="1"/>
          <w:bCs w:val="1"/>
          <w:color w:val="auto"/>
        </w:rPr>
        <w:t>Commencement Date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 w:right="80" w:firstLine="439"/>
        <w:spacing w:after="0" w:line="284" w:lineRule="auto"/>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T he Company’s Right to Require Regular Purchases</w:t>
      </w:r>
      <w:r>
        <w:rPr>
          <w:rFonts w:ascii="Arial" w:cs="Arial" w:eastAsia="Arial" w:hAnsi="Arial"/>
          <w:sz w:val="16"/>
          <w:szCs w:val="16"/>
          <w:color w:val="auto"/>
        </w:rPr>
        <w:t xml:space="preserve"> . Subject to the terms and conditions of this Agreement, on any given Business Day after the Commencement Date, the Company shall have the right but not the obligation to direct the Buyer by its delivery to the Buyer of a Purchase Notice from time to time, and subject to acceptance by the Buyer in Buyer’s sole discretion, to buy the number of Purchase Shares equal to the lesser of (i) 500,000 shares of Common Stock or (ii) 200% of the average trading volume of the Common Stock in the five (5) Business Days immediately preceding the respective date of the Purchase Notice (as long as such notice is delivered on or prior to 8:30 a.m. Eastern time on such Business Day) (each such purchase, a “</w:t>
      </w:r>
      <w:r>
        <w:rPr>
          <w:rFonts w:ascii="Arial" w:cs="Arial" w:eastAsia="Arial" w:hAnsi="Arial"/>
          <w:sz w:val="16"/>
          <w:szCs w:val="16"/>
          <w:b w:val="1"/>
          <w:bCs w:val="1"/>
          <w:color w:val="auto"/>
        </w:rPr>
        <w:t>Regular Purchase</w:t>
      </w:r>
      <w:r>
        <w:rPr>
          <w:rFonts w:ascii="Arial" w:cs="Arial" w:eastAsia="Arial" w:hAnsi="Arial"/>
          <w:sz w:val="16"/>
          <w:szCs w:val="16"/>
          <w:color w:val="auto"/>
        </w:rPr>
        <w:t>”) at the Purchase Price on the Purchase Date, provided, however, that the lowest traded price of the Common Stock in the ten</w:t>
      </w:r>
    </w:p>
    <w:p>
      <w:pPr>
        <w:spacing w:after="0" w:line="4" w:lineRule="exact"/>
        <w:rPr>
          <w:rFonts w:ascii="Arial" w:cs="Arial" w:eastAsia="Arial" w:hAnsi="Arial"/>
          <w:sz w:val="16"/>
          <w:szCs w:val="16"/>
          <w:color w:val="auto"/>
        </w:rPr>
      </w:pPr>
    </w:p>
    <w:p>
      <w:pPr>
        <w:ind w:left="2" w:right="160" w:hanging="2"/>
        <w:spacing w:after="0" w:line="281" w:lineRule="auto"/>
        <w:tabs>
          <w:tab w:leader="none" w:pos="347" w:val="left"/>
        </w:tabs>
        <w:numPr>
          <w:ilvl w:val="0"/>
          <w:numId w:val="6"/>
        </w:numPr>
        <w:rPr>
          <w:rFonts w:ascii="Arial" w:cs="Arial" w:eastAsia="Arial" w:hAnsi="Arial"/>
          <w:sz w:val="16"/>
          <w:szCs w:val="16"/>
          <w:color w:val="auto"/>
        </w:rPr>
      </w:pPr>
      <w:r>
        <w:rPr>
          <w:rFonts w:ascii="Arial" w:cs="Arial" w:eastAsia="Arial" w:hAnsi="Arial"/>
          <w:sz w:val="16"/>
          <w:szCs w:val="16"/>
          <w:color w:val="auto"/>
        </w:rPr>
        <w:t>Business Days immediately preceding the date of the respective Purchase Notice must be equal to or greater than the Minimum Price. The Company and the Buyer may mutually agree to increase the number of Purchase Shares that may be sold per Regular Purchase. The Company may deliver additional Purchase Notices to the Buyer from time to time, provided, however, that the Company shall not deliver another Purchase Notice to the Buyer within three</w:t>
      </w:r>
    </w:p>
    <w:p>
      <w:pPr>
        <w:spacing w:after="0" w:line="2" w:lineRule="exact"/>
        <w:rPr>
          <w:rFonts w:ascii="Arial" w:cs="Arial" w:eastAsia="Arial" w:hAnsi="Arial"/>
          <w:sz w:val="16"/>
          <w:szCs w:val="16"/>
          <w:color w:val="auto"/>
        </w:rPr>
      </w:pPr>
    </w:p>
    <w:p>
      <w:pPr>
        <w:ind w:left="2" w:right="80" w:hanging="2"/>
        <w:spacing w:after="0" w:line="261" w:lineRule="auto"/>
        <w:tabs>
          <w:tab w:leader="none" w:pos="257"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Business Days of a prior Purchase Notice. The share amounts in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shall be appropriately adjusted for any reorganization, recapitalization, non-cash dividend, stock split, reverse stock split or other similar transaction.</w:t>
      </w:r>
    </w:p>
    <w:p>
      <w:pPr>
        <w:spacing w:after="0" w:line="183" w:lineRule="exact"/>
        <w:rPr>
          <w:rFonts w:ascii="Arial" w:cs="Arial" w:eastAsia="Arial" w:hAnsi="Arial"/>
          <w:sz w:val="18"/>
          <w:szCs w:val="18"/>
          <w:color w:val="auto"/>
        </w:rPr>
      </w:pPr>
    </w:p>
    <w:p>
      <w:pPr>
        <w:ind w:left="2" w:right="380" w:firstLine="439"/>
        <w:spacing w:after="0" w:line="264" w:lineRule="auto"/>
        <w:tabs>
          <w:tab w:leader="none" w:pos="791"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Upsize Option</w:t>
      </w:r>
      <w:r>
        <w:rPr>
          <w:rFonts w:ascii="Arial" w:cs="Arial" w:eastAsia="Arial" w:hAnsi="Arial"/>
          <w:sz w:val="18"/>
          <w:szCs w:val="18"/>
          <w:color w:val="auto"/>
        </w:rPr>
        <w:t>. The Company, at its option and subject to the terms of this Agreement, may increase the total number of Purchase Shares to 13,333,333 (the “</w:t>
      </w:r>
      <w:r>
        <w:rPr>
          <w:rFonts w:ascii="Arial" w:cs="Arial" w:eastAsia="Arial" w:hAnsi="Arial"/>
          <w:sz w:val="18"/>
          <w:szCs w:val="18"/>
          <w:b w:val="1"/>
          <w:bCs w:val="1"/>
          <w:color w:val="auto"/>
        </w:rPr>
        <w:t>Upsize Option</w:t>
      </w:r>
      <w:r>
        <w:rPr>
          <w:rFonts w:ascii="Arial" w:cs="Arial" w:eastAsia="Arial" w:hAnsi="Arial"/>
          <w:sz w:val="18"/>
          <w:szCs w:val="18"/>
          <w:color w:val="auto"/>
        </w:rPr>
        <w:t>”) on any Business Day after the date of this Agreement, by providing written notice of the exercise of such right to the Buyer.</w:t>
      </w:r>
    </w:p>
    <w:p>
      <w:pPr>
        <w:spacing w:after="0" w:line="181"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2"/>
          </w:cols>
          <w:pgMar w:left="338" w:top="121" w:right="239" w:bottom="1440" w:gutter="0" w:footer="0" w:header="0"/>
        </w:sectPr>
      </w:pPr>
    </w:p>
    <w:bookmarkStart w:id="6" w:name="page7"/>
    <w:bookmarkEnd w:id="6"/>
    <w:p>
      <w:pPr>
        <w:ind w:firstLine="439"/>
        <w:spacing w:after="0" w:line="293" w:lineRule="auto"/>
        <w:tabs>
          <w:tab w:leader="none" w:pos="718"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Payment for Purchase Shares</w:t>
      </w:r>
      <w:r>
        <w:rPr>
          <w:rFonts w:ascii="Arial" w:cs="Arial" w:eastAsia="Arial" w:hAnsi="Arial"/>
          <w:sz w:val="16"/>
          <w:szCs w:val="16"/>
          <w:color w:val="auto"/>
        </w:rPr>
        <w:t xml:space="preserve">. With respect to the Purchase Shares that are the subject of any Purchase Notice, the Buyer shall pay to the Company an amount equal to the product of (x) the Purchase Price and (y) the number of Purchase Shares set forth on such Purchase Notice (minus the deposit and clearing fees associated with such purchase) as full payment for such portion of the Purchase Shares via wire transfer of immediately available funds on the respective Purchase Date. All payments made under this Agreement shall be made in lawful money of the United States of America via wire transfer of immediately available funds to the Company according to the wiring instructions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Whenever any amount expressed to be due by the terms of this Agreement is due on any day that is not a Business Day, the same shall instead be due on the next succeeding day that is a Business Day.</w:t>
      </w:r>
    </w:p>
    <w:p>
      <w:pPr>
        <w:spacing w:after="0" w:line="164" w:lineRule="exact"/>
        <w:rPr>
          <w:rFonts w:ascii="Arial" w:cs="Arial" w:eastAsia="Arial" w:hAnsi="Arial"/>
          <w:sz w:val="16"/>
          <w:szCs w:val="16"/>
          <w:color w:val="auto"/>
        </w:rPr>
      </w:pPr>
    </w:p>
    <w:p>
      <w:pPr>
        <w:ind w:left="720" w:hanging="281"/>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439"/>
        <w:spacing w:after="0" w:line="264" w:lineRule="auto"/>
        <w:tabs>
          <w:tab w:leader="none" w:pos="68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Records of Purchases</w:t>
      </w:r>
      <w:r>
        <w:rPr>
          <w:rFonts w:ascii="Arial" w:cs="Arial" w:eastAsia="Arial" w:hAnsi="Arial"/>
          <w:sz w:val="18"/>
          <w:szCs w:val="18"/>
          <w:color w:val="auto"/>
        </w:rPr>
        <w:t>. The Buyer and the Company shall each maintain records showing the remaining Purchase Shares at any given time and the dates and amounts for each purchase, or shall use such other method reasonably satisfactory to the Buyer and the Company to reconcile the remaining Purchase Shares.</w:t>
      </w:r>
    </w:p>
    <w:p>
      <w:pPr>
        <w:spacing w:after="0" w:line="181" w:lineRule="exact"/>
        <w:rPr>
          <w:rFonts w:ascii="Arial" w:cs="Arial" w:eastAsia="Arial" w:hAnsi="Arial"/>
          <w:sz w:val="18"/>
          <w:szCs w:val="18"/>
          <w:color w:val="auto"/>
        </w:rPr>
      </w:pPr>
    </w:p>
    <w:p>
      <w:pPr>
        <w:ind w:right="320" w:firstLine="439"/>
        <w:spacing w:after="0" w:line="277" w:lineRule="auto"/>
        <w:tabs>
          <w:tab w:leader="none" w:pos="7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Company shall pay any and all transfer, stamp or similar taxes that may be payable with respect to the issuance and delivery of any shares of Common Stock to the Buyer made under this Agreement.</w:t>
      </w:r>
    </w:p>
    <w:p>
      <w:pPr>
        <w:spacing w:after="0" w:line="170" w:lineRule="exact"/>
        <w:rPr>
          <w:rFonts w:ascii="Arial" w:cs="Arial" w:eastAsia="Arial" w:hAnsi="Arial"/>
          <w:sz w:val="18"/>
          <w:szCs w:val="18"/>
          <w:color w:val="auto"/>
        </w:rPr>
      </w:pPr>
    </w:p>
    <w:p>
      <w:pPr>
        <w:ind w:firstLine="439"/>
        <w:spacing w:after="0" w:line="270" w:lineRule="auto"/>
        <w:tabs>
          <w:tab w:leader="none" w:pos="718"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Compliance with Principal Market Rules</w:t>
      </w:r>
      <w:r>
        <w:rPr>
          <w:rFonts w:ascii="Arial" w:cs="Arial" w:eastAsia="Arial" w:hAnsi="Arial"/>
          <w:sz w:val="17"/>
          <w:szCs w:val="17"/>
          <w:color w:val="auto"/>
        </w:rPr>
        <w:t>. Notwithstanding anything in this Agreement to the contrary, the total number of shares of Common Stock that may be issued under this Agreement will not exceed the aggregate number of shares of Common Stock which the Company may issue without breaching the rules and regulations of the Principal Market (including rules related to the aggregation of offerings under Nasdaq Listing Rule 5635(d) if applicable) (the “</w:t>
      </w:r>
      <w:r>
        <w:rPr>
          <w:rFonts w:ascii="Arial" w:cs="Arial" w:eastAsia="Arial" w:hAnsi="Arial"/>
          <w:sz w:val="17"/>
          <w:szCs w:val="17"/>
          <w:b w:val="1"/>
          <w:bCs w:val="1"/>
          <w:color w:val="auto"/>
        </w:rPr>
        <w:t>Exchange Cap</w:t>
      </w:r>
      <w:r>
        <w:rPr>
          <w:rFonts w:ascii="Arial" w:cs="Arial" w:eastAsia="Arial" w:hAnsi="Arial"/>
          <w:sz w:val="17"/>
          <w:szCs w:val="17"/>
          <w:color w:val="auto"/>
        </w:rPr>
        <w:t>”), unless the Company obtains stockholder approval as required by the applicable rules of the Principal Market for the issuance of such shares of Common Stock. The Exchange Cap shall be appropriately adjusted for any reorganization, recapitalization, non-cash dividend, stock split, reverse stock split or other similar transaction. Notwithstanding anything to the contrary in this Agreement or otherwise, the Company shall not be required or permitted to issue, and the Buyer shall not be required to purchase, any shares of Common Stock under this Agreement if such issuance would breach the Company’s obligations under the rules or regulations of the Principal Market. The Company may, in its sole discretion, determine whether to obtain stockholder approval to issue more shares than otherwise permitted under the Exchange Cap if such issuance would require stockholder approval under the rules or regulations of the Principal Market.</w:t>
      </w:r>
    </w:p>
    <w:p>
      <w:pPr>
        <w:spacing w:after="0" w:line="177" w:lineRule="exact"/>
        <w:rPr>
          <w:rFonts w:ascii="Arial" w:cs="Arial" w:eastAsia="Arial" w:hAnsi="Arial"/>
          <w:sz w:val="17"/>
          <w:szCs w:val="17"/>
          <w:color w:val="auto"/>
        </w:rPr>
      </w:pPr>
    </w:p>
    <w:p>
      <w:pPr>
        <w:ind w:right="160" w:firstLine="439"/>
        <w:spacing w:after="0" w:line="257" w:lineRule="auto"/>
        <w:tabs>
          <w:tab w:leader="none" w:pos="69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Beneficial Ownership Limitation</w:t>
      </w:r>
      <w:r>
        <w:rPr>
          <w:rFonts w:ascii="Arial" w:cs="Arial" w:eastAsia="Arial" w:hAnsi="Arial"/>
          <w:sz w:val="18"/>
          <w:szCs w:val="18"/>
          <w:color w:val="auto"/>
        </w:rPr>
        <w:t>. The Company shall not issue, and the Buyer shall not purchase any shares of Common Stock under this Agreement, if such shares proposed to be issued and sold, when aggregated with all other shares of Common Stock then owned beneficially (as calculated pursuant to Section 13(d) of the Securities Exchange Act of 1934, as amended (the “</w:t>
      </w:r>
      <w:r>
        <w:rPr>
          <w:rFonts w:ascii="Arial" w:cs="Arial" w:eastAsia="Arial" w:hAnsi="Arial"/>
          <w:sz w:val="18"/>
          <w:szCs w:val="18"/>
          <w:b w:val="1"/>
          <w:bCs w:val="1"/>
          <w:color w:val="auto"/>
        </w:rPr>
        <w:t>1934 Act</w:t>
      </w:r>
      <w:r>
        <w:rPr>
          <w:rFonts w:ascii="Arial" w:cs="Arial" w:eastAsia="Arial" w:hAnsi="Arial"/>
          <w:sz w:val="18"/>
          <w:szCs w:val="18"/>
          <w:color w:val="auto"/>
        </w:rPr>
        <w:t>”) and Rule 13d-3 promulgated thereunder) by the Buyer and its affiliates would result in the beneficial ownership by the Buyer and its affiliates of more than 4.99% of the then issued and outstanding shares of Common Stock of the Company.</w:t>
      </w:r>
    </w:p>
    <w:p>
      <w:pPr>
        <w:spacing w:after="0" w:line="184" w:lineRule="exact"/>
        <w:rPr>
          <w:rFonts w:ascii="Arial" w:cs="Arial" w:eastAsia="Arial" w:hAnsi="Arial"/>
          <w:sz w:val="18"/>
          <w:szCs w:val="18"/>
          <w:color w:val="auto"/>
        </w:rPr>
      </w:pPr>
    </w:p>
    <w:p>
      <w:pPr>
        <w:ind w:right="100" w:firstLine="479"/>
        <w:spacing w:after="0" w:line="261" w:lineRule="auto"/>
        <w:tabs>
          <w:tab w:leader="none" w:pos="81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Commitment Fees</w:t>
      </w:r>
      <w:r>
        <w:rPr>
          <w:rFonts w:ascii="Arial" w:cs="Arial" w:eastAsia="Arial" w:hAnsi="Arial"/>
          <w:sz w:val="18"/>
          <w:szCs w:val="18"/>
          <w:color w:val="auto"/>
        </w:rPr>
        <w:t>. Upon execution of this Agreement, the Company shall issue 300,000 shares of Common Stock (the “</w:t>
      </w:r>
      <w:r>
        <w:rPr>
          <w:rFonts w:ascii="Arial" w:cs="Arial" w:eastAsia="Arial" w:hAnsi="Arial"/>
          <w:sz w:val="18"/>
          <w:szCs w:val="18"/>
          <w:b w:val="1"/>
          <w:bCs w:val="1"/>
          <w:color w:val="auto"/>
        </w:rPr>
        <w:t>Commitment Shares</w:t>
      </w:r>
      <w:r>
        <w:rPr>
          <w:rFonts w:ascii="Arial" w:cs="Arial" w:eastAsia="Arial" w:hAnsi="Arial"/>
          <w:sz w:val="18"/>
          <w:szCs w:val="18"/>
          <w:color w:val="auto"/>
        </w:rPr>
        <w:t>”) to Buyer for its commitment to enter into this Agreement. The Commitment Shares shall be earned in full upon the execution of this Agreement, and the Commitment Shares are not contingent upon any other event or condition, including but not limited to the Company’s submission of a Purchase Notice to the Buyer.</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7" w:name="page8"/>
    <w:bookmarkEnd w:id="7"/>
    <w:p>
      <w:pPr>
        <w:ind w:left="680" w:hanging="345"/>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Buyer represents and warrants to the Company that as of the date hereof and as of the Commencement Date:</w:t>
      </w:r>
    </w:p>
    <w:p>
      <w:pPr>
        <w:spacing w:after="0" w:line="225" w:lineRule="exact"/>
        <w:rPr>
          <w:sz w:val="20"/>
          <w:szCs w:val="20"/>
          <w:color w:val="auto"/>
        </w:rPr>
      </w:pPr>
    </w:p>
    <w:p>
      <w:pPr>
        <w:ind w:right="40" w:firstLine="439"/>
        <w:spacing w:after="0" w:line="259" w:lineRule="auto"/>
        <w:tabs>
          <w:tab w:leader="none" w:pos="70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 Purpose</w:t>
      </w:r>
      <w:r>
        <w:rPr>
          <w:rFonts w:ascii="Arial" w:cs="Arial" w:eastAsia="Arial" w:hAnsi="Arial"/>
          <w:sz w:val="18"/>
          <w:szCs w:val="18"/>
          <w:color w:val="auto"/>
        </w:rPr>
        <w:t>. The Buyer is entering into this Agreement and acquiring the Purchase Shares (the Purchase Shares together with the Commitment Shares are also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 for its own account for investment only and not with a view towards, or for resale in connection with, the public sale or distribution thereof; provided however, by making the representations herein, the Buyer does not agree to hold any of the Securities for any minimum or other specific term.</w:t>
      </w:r>
    </w:p>
    <w:p>
      <w:pPr>
        <w:spacing w:after="0" w:line="186" w:lineRule="exact"/>
        <w:rPr>
          <w:rFonts w:ascii="Arial" w:cs="Arial" w:eastAsia="Arial" w:hAnsi="Arial"/>
          <w:sz w:val="18"/>
          <w:szCs w:val="18"/>
          <w:color w:val="auto"/>
        </w:rPr>
      </w:pPr>
    </w:p>
    <w:p>
      <w:pPr>
        <w:ind w:left="720" w:hanging="281"/>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The Buyer is an “accredited investor” as that term is defined in Rule 501(a)(3) of Regulation D under the 1933 Act.</w:t>
      </w:r>
    </w:p>
    <w:p>
      <w:pPr>
        <w:spacing w:after="0" w:line="248" w:lineRule="exact"/>
        <w:rPr>
          <w:rFonts w:ascii="Arial" w:cs="Arial" w:eastAsia="Arial" w:hAnsi="Arial"/>
          <w:sz w:val="16"/>
          <w:szCs w:val="16"/>
          <w:color w:val="auto"/>
        </w:rPr>
      </w:pPr>
    </w:p>
    <w:p>
      <w:pPr>
        <w:ind w:left="720" w:hanging="281"/>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39"/>
        <w:spacing w:after="0" w:line="289" w:lineRule="auto"/>
        <w:tabs>
          <w:tab w:leader="none" w:pos="71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The Buyer has been furnished with all materials relating to the business, finances and operations of the Company and materials relating to the offer and sale of the Securities that have been reasonably requested by the Buyer, including, without limitation, the SEC Documents (as defined in </w:t>
      </w:r>
      <w:r>
        <w:rPr>
          <w:rFonts w:ascii="Arial" w:cs="Arial" w:eastAsia="Arial" w:hAnsi="Arial"/>
          <w:sz w:val="16"/>
          <w:szCs w:val="16"/>
          <w:u w:val="single" w:color="auto"/>
          <w:color w:val="auto"/>
        </w:rPr>
        <w:t>Section 3(f)</w:t>
      </w:r>
      <w:r>
        <w:rPr>
          <w:rFonts w:ascii="Arial" w:cs="Arial" w:eastAsia="Arial" w:hAnsi="Arial"/>
          <w:sz w:val="16"/>
          <w:szCs w:val="16"/>
          <w:color w:val="auto"/>
        </w:rPr>
        <w:t xml:space="preserve"> hereof). The Buyer understands that its investment in the Securities involves a high degree of risk. The Buyer (i) is able to bear the economic risk of an investment in the Securities including a total loss, (ii) has such knowledge and experience in financial and business matters that it is capable of evaluating the merits and risks of the proposed investment in the Securities and (iii) has had an opportunity to ask questions of and receive answers from the officers of the Company concerning the financial condition and business of the Company and other matters related to an investment in the Securities. Neither such inquiries nor any other due diligence investigations conducted by the Buyer or its representatives shall modify, amend or affect the Buyer’s right to rely on the Company’s representations and warranties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The Buyer has sought such accounting, legal and tax advice as it has considered necessary to make an informed investment decision with respect to its acquisition of the Securities.</w:t>
      </w:r>
    </w:p>
    <w:p>
      <w:pPr>
        <w:spacing w:after="0" w:line="166" w:lineRule="exact"/>
        <w:rPr>
          <w:rFonts w:ascii="Arial" w:cs="Arial" w:eastAsia="Arial" w:hAnsi="Arial"/>
          <w:sz w:val="16"/>
          <w:szCs w:val="16"/>
          <w:color w:val="auto"/>
        </w:rPr>
      </w:pPr>
    </w:p>
    <w:p>
      <w:pPr>
        <w:ind w:right="80" w:firstLine="439"/>
        <w:spacing w:after="0" w:line="264" w:lineRule="auto"/>
        <w:tabs>
          <w:tab w:leader="none" w:pos="72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81" w:lineRule="exact"/>
        <w:rPr>
          <w:rFonts w:ascii="Arial" w:cs="Arial" w:eastAsia="Arial" w:hAnsi="Arial"/>
          <w:sz w:val="18"/>
          <w:szCs w:val="18"/>
          <w:color w:val="auto"/>
        </w:rPr>
      </w:pPr>
    </w:p>
    <w:p>
      <w:pPr>
        <w:ind w:left="680" w:hanging="24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439"/>
        <w:spacing w:after="0" w:line="342" w:lineRule="auto"/>
        <w:tabs>
          <w:tab w:leader="none" w:pos="73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Buyer is a limited liability company duly organized and validly existing in good standing under the laws of the jurisdiction in which it is organized, and has the requisite organizational power and authority to own its properties and to carry on its business as now being conducted.</w:t>
      </w:r>
    </w:p>
    <w:p>
      <w:pPr>
        <w:spacing w:after="0" w:line="123" w:lineRule="exact"/>
        <w:rPr>
          <w:rFonts w:ascii="Arial" w:cs="Arial" w:eastAsia="Arial" w:hAnsi="Arial"/>
          <w:sz w:val="16"/>
          <w:szCs w:val="16"/>
          <w:color w:val="auto"/>
        </w:rPr>
      </w:pPr>
    </w:p>
    <w:p>
      <w:pPr>
        <w:ind w:firstLine="439"/>
        <w:spacing w:after="0" w:line="285" w:lineRule="auto"/>
        <w:tabs>
          <w:tab w:leader="none" w:pos="718"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Validity; Enforcement</w:t>
      </w:r>
      <w:r>
        <w:rPr>
          <w:rFonts w:ascii="Arial" w:cs="Arial" w:eastAsia="Arial" w:hAnsi="Arial"/>
          <w:sz w:val="16"/>
          <w:szCs w:val="16"/>
          <w:color w:val="auto"/>
        </w:rPr>
        <w:t>. This Agreement has been duly and validly authorized, executed and delivered on behalf of the Buyer and is a valid and binding agreement of the Buyer enforceable against the Buyer in accordance with its terms, subject as to enforceability to (i) general principles of equity and to applicable bankruptcy, insolvency, reorganization, moratorium, liquidation and other similar laws relating to, or affecting generally, the enforcement of applicable creditors’ rights and remedies and (ii) public policy underlying any law, rule or regulation (including any federal or state securities law, rule or regulation) with regards to indemnification, contribution or exculpation. The execution and delivery of the Transaction Documents (as defined in</w:t>
      </w:r>
    </w:p>
    <w:p>
      <w:pPr>
        <w:spacing w:after="0" w:line="2"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hereof) by the Buyer and the consummation by it of the transactions contemplated hereby and thereby do not conflict with the Buyer’s certificate of organization or operating agreement or similar documents, and do not require further consent or authorization by the Buyer, its managers or its members.</w:t>
      </w:r>
    </w:p>
    <w:p>
      <w:pPr>
        <w:spacing w:after="0" w:line="190" w:lineRule="exact"/>
        <w:rPr>
          <w:rFonts w:ascii="Arial" w:cs="Arial" w:eastAsia="Arial" w:hAnsi="Arial"/>
          <w:sz w:val="16"/>
          <w:szCs w:val="16"/>
          <w:color w:val="auto"/>
        </w:rPr>
      </w:pPr>
    </w:p>
    <w:p>
      <w:pPr>
        <w:ind w:left="760" w:hanging="271"/>
        <w:spacing w:after="0"/>
        <w:tabs>
          <w:tab w:leader="none" w:pos="76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Residency</w:t>
      </w:r>
      <w:r>
        <w:rPr>
          <w:rFonts w:ascii="Arial" w:cs="Arial" w:eastAsia="Arial" w:hAnsi="Arial"/>
          <w:sz w:val="18"/>
          <w:szCs w:val="18"/>
          <w:color w:val="auto"/>
        </w:rPr>
        <w:t>. The Buyer is organized in the territory of Puerto Rico.</w:t>
      </w:r>
    </w:p>
    <w:p>
      <w:pPr>
        <w:spacing w:after="0" w:line="225" w:lineRule="exact"/>
        <w:rPr>
          <w:rFonts w:ascii="Arial" w:cs="Arial" w:eastAsia="Arial" w:hAnsi="Arial"/>
          <w:sz w:val="18"/>
          <w:szCs w:val="18"/>
          <w:color w:val="auto"/>
        </w:rPr>
      </w:pPr>
    </w:p>
    <w:p>
      <w:pPr>
        <w:ind w:left="740" w:hanging="256"/>
        <w:spacing w:after="0"/>
        <w:tabs>
          <w:tab w:leader="none" w:pos="74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8" w:name="page9"/>
    <w:bookmarkEnd w:id="8"/>
    <w:p>
      <w:pPr>
        <w:ind w:left="680" w:hanging="345"/>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represents and warrants to the Buyer that as of the date hereof and as of the Commencement Date:</w:t>
      </w:r>
    </w:p>
    <w:p>
      <w:pPr>
        <w:spacing w:after="0" w:line="221" w:lineRule="exact"/>
        <w:rPr>
          <w:sz w:val="20"/>
          <w:szCs w:val="20"/>
          <w:color w:val="auto"/>
        </w:rPr>
      </w:pPr>
    </w:p>
    <w:p>
      <w:pPr>
        <w:ind w:firstLine="440"/>
        <w:spacing w:after="0" w:line="270" w:lineRule="auto"/>
        <w:tabs>
          <w:tab w:leader="none" w:pos="70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The Company and its “</w:t>
      </w:r>
      <w:r>
        <w:rPr>
          <w:rFonts w:ascii="Arial" w:cs="Arial" w:eastAsia="Arial" w:hAnsi="Arial"/>
          <w:sz w:val="17"/>
          <w:szCs w:val="17"/>
          <w:b w:val="1"/>
          <w:bCs w:val="1"/>
          <w:color w:val="auto"/>
        </w:rPr>
        <w:t>Subsidiaries</w:t>
      </w:r>
      <w:r>
        <w:rPr>
          <w:rFonts w:ascii="Arial" w:cs="Arial" w:eastAsia="Arial" w:hAnsi="Arial"/>
          <w:sz w:val="17"/>
          <w:szCs w:val="17"/>
          <w:color w:val="auto"/>
        </w:rPr>
        <w:t>” (which for purposes of this Agreement means any entity that is a “significant subsidiary” as defined in Rule 1-02 of Regulation S-X under the 1933 Act in which the Company, directly or indirectly, owns more than 50% of the voting stock or capital stock or other similar equity interests) are corporations or limited liability companies duly organized and validly existing in good standing under the laws of the jurisdiction in which they are incorporated or organized, and have the requisite corporate or organizational power and authority to own their properties and to carry on their business as now being conducted. Each of the Company and its Subsidiaries is duly qualified as a foreign corporation or limited liability company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used in this Agreement, “</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any material adverse effect on any of: (i) the business, properties, assets, operations, results of operations or financial condition of the Company and its Subsidiaries, if any, taken as a whole, or (ii) the authority or ability of the Company to perform its obligations under the Transaction Documents. The Company has no material Subsidiaries except as set forth on </w:t>
      </w:r>
      <w:r>
        <w:rPr>
          <w:rFonts w:ascii="Arial" w:cs="Arial" w:eastAsia="Arial" w:hAnsi="Arial"/>
          <w:sz w:val="17"/>
          <w:szCs w:val="17"/>
          <w:u w:val="single" w:color="auto"/>
          <w:color w:val="auto"/>
        </w:rPr>
        <w:t>Schedule 3(a)</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firstLine="439"/>
        <w:spacing w:after="0" w:line="268" w:lineRule="auto"/>
        <w:tabs>
          <w:tab w:leader="none" w:pos="71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Authorization; Enforcement; Validity</w:t>
      </w:r>
      <w:r>
        <w:rPr>
          <w:rFonts w:ascii="Arial" w:cs="Arial" w:eastAsia="Arial" w:hAnsi="Arial"/>
          <w:sz w:val="17"/>
          <w:szCs w:val="17"/>
          <w:color w:val="auto"/>
        </w:rPr>
        <w:t>. (i) The Company has the requisite corporate power and authority to enter into and perform its obligations under this Agreement, and each of the other agreements entered into by the parties on the Commencement Date and attached hereto as exhibits to this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to issue the Securities in accordance with the terms hereof and thereof, (ii) the execution and delivery of the Transaction Documents by the Company and the consummation by it of the transactions contemplated hereby and thereby, have been duly authorized by the Company’s Board of Directors or duly authorized committee thereof, do not conflict with the Company’s Certificate of Incorporation or Bylaws (as defined below), and do not require further consent or authorization by the Company, its Board of Directors, except as set forth in this Agreement, or its stockholders, (iii) this Agreement has been, and each other Transaction Document shall be on the Commencement Date, duly executed and delivered by the Company and (iv) this Agreement constitutes, and each other Transaction Document upon its execution on behalf of the Company, shall constitute, the valid and binding obligations of the Company enforceable against the Company in accordance with their terms, except as such enforceability may be limited by (y) general principles of equity or applicable bankruptcy, insolvency, reorganization, moratorium, liquidation or similar laws relating to, or affecting generally, the enforcement of creditors’ rights and remedies and (z) public policy underlying any law, rule or regulation (including any federal or state securities law, rule or regulation) with regards to indemnification, contribution or exculpation. The Board of Directors of the Company or a duly authorized committee thereof has approved the resolutions (the “</w:t>
      </w:r>
      <w:r>
        <w:rPr>
          <w:rFonts w:ascii="Arial" w:cs="Arial" w:eastAsia="Arial" w:hAnsi="Arial"/>
          <w:sz w:val="17"/>
          <w:szCs w:val="17"/>
          <w:b w:val="1"/>
          <w:bCs w:val="1"/>
          <w:color w:val="auto"/>
        </w:rPr>
        <w:t>Signing Resolutions</w:t>
      </w:r>
      <w:r>
        <w:rPr>
          <w:rFonts w:ascii="Arial" w:cs="Arial" w:eastAsia="Arial" w:hAnsi="Arial"/>
          <w:sz w:val="17"/>
          <w:szCs w:val="17"/>
          <w:color w:val="auto"/>
        </w:rPr>
        <w:t>”) substantially in the form as set forth as Exhibit B attached hereto to authorize this Agreement and the transactions contemplated hereby. The Signing Resolutions are valid, in full force and effect and have not been modified or supplemented in any material respect. The Company has delivered to the Buyer a true and correct copy of the Signing Resolutions as approved by the Pricing Committee of the Company.</w:t>
      </w:r>
    </w:p>
    <w:p>
      <w:pPr>
        <w:spacing w:after="0" w:line="180" w:lineRule="exact"/>
        <w:rPr>
          <w:rFonts w:ascii="Arial" w:cs="Arial" w:eastAsia="Arial" w:hAnsi="Arial"/>
          <w:sz w:val="17"/>
          <w:szCs w:val="17"/>
          <w:color w:val="auto"/>
        </w:rPr>
      </w:pPr>
    </w:p>
    <w:p>
      <w:pPr>
        <w:ind w:firstLine="439"/>
        <w:spacing w:after="0" w:line="272" w:lineRule="auto"/>
        <w:tabs>
          <w:tab w:leader="none" w:pos="72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3(c)</w:t>
      </w:r>
      <w:r>
        <w:rPr>
          <w:rFonts w:ascii="Arial" w:cs="Arial" w:eastAsia="Arial" w:hAnsi="Arial"/>
          <w:sz w:val="17"/>
          <w:szCs w:val="17"/>
          <w:color w:val="auto"/>
        </w:rPr>
        <w:t xml:space="preserve"> or the SEC Documents, (i) no shares of the Company’s capital stock are subject to preemptive rights or any other similar rights or any liens or encumbrances suffered or permitted by the Company, (ii) there are no outstanding debt securities of the Company or any of its Subsidiaries, (iii)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7" w:right="259" w:bottom="1440" w:gutter="0" w:footer="0" w:header="0"/>
        </w:sectPr>
      </w:pPr>
    </w:p>
    <w:bookmarkStart w:id="9" w:name="page10"/>
    <w:bookmarkEnd w:id="9"/>
    <w:p>
      <w:pPr>
        <w:spacing w:after="0" w:line="290" w:lineRule="auto"/>
        <w:rPr>
          <w:sz w:val="20"/>
          <w:szCs w:val="20"/>
          <w:color w:val="auto"/>
        </w:rPr>
      </w:pPr>
      <w:r>
        <w:rPr>
          <w:rFonts w:ascii="Arial" w:cs="Arial" w:eastAsia="Arial" w:hAnsi="Arial"/>
          <w:sz w:val="16"/>
          <w:szCs w:val="16"/>
          <w:color w:val="auto"/>
        </w:rPr>
        <w:t>Subsidiaries, (iv) there are no material agreements or arrangements under which the Company or any of its Subsidiaries is obligated to register the sale of any of their securities under the 1933 Act (except the Agreement), (v)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 there are no securities or instruments containing anti-dilution or similar provisions that will be triggered by the issuance of the Securities as described in this Agreement and (vii) the Company does not have any stock appreciation rights or “phantom stock” plans or agreements or any similar plan or agreement. The Company has furnished or made available to the Buyer true and correct copies of the Company’s Certificate of Incorporation, as amended and as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w:t>
      </w:r>
    </w:p>
    <w:p>
      <w:pPr>
        <w:spacing w:after="0" w:line="166" w:lineRule="exact"/>
        <w:rPr>
          <w:sz w:val="20"/>
          <w:szCs w:val="20"/>
          <w:color w:val="auto"/>
        </w:rPr>
      </w:pPr>
    </w:p>
    <w:p>
      <w:pPr>
        <w:jc w:val="both"/>
        <w:ind w:right="140" w:firstLine="440"/>
        <w:spacing w:after="0" w:line="276" w:lineRule="auto"/>
        <w:tabs>
          <w:tab w:leader="none" w:pos="71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Purchase Shares and Commitment Shares have been duly authorized and, upon issuance in accordance with the terms hereof, the Purchase Shares and Commitment Shares shall be (i) validly issued, fully paid and non-assessable and (ii) free from all taxes, liens and charges with respect to the issuance thereof. Upon issuance and payment therefore in accordance with the terms and conditions of this Agreement, the Purchase Shares and Commitment Shares shall be validly issued, fully paid and non-assessable and free from all taxes, liens and charges with respect to the issue thereof, with the holders being entitled to all rights accorded to a holder of Common Stock.</w:t>
      </w:r>
    </w:p>
    <w:p>
      <w:pPr>
        <w:spacing w:after="0" w:line="172" w:lineRule="exact"/>
        <w:rPr>
          <w:rFonts w:ascii="Arial" w:cs="Arial" w:eastAsia="Arial" w:hAnsi="Arial"/>
          <w:sz w:val="17"/>
          <w:szCs w:val="17"/>
          <w:color w:val="auto"/>
        </w:rPr>
      </w:pPr>
    </w:p>
    <w:p>
      <w:pPr>
        <w:ind w:firstLine="475"/>
        <w:spacing w:after="0" w:line="284" w:lineRule="auto"/>
        <w:tabs>
          <w:tab w:leader="none" w:pos="73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3(e)</w:t>
      </w:r>
      <w:r>
        <w:rPr>
          <w:rFonts w:ascii="Arial" w:cs="Arial" w:eastAsia="Arial" w:hAnsi="Arial"/>
          <w:sz w:val="16"/>
          <w:szCs w:val="16"/>
          <w:color w:val="auto"/>
        </w:rPr>
        <w:t xml:space="preserve">, the execution, delivery and performance of the Transaction Documents by the Company and the consummation by the Company of the transactions contemplated hereby and thereby (including, without limitation, the reservation for issuance and issuance of the Purchase Shares) will not (i) result in a violation of the Certificate of Incorporation, any Certificate of Designations, Preferences and Rights of any outstanding series of preferred stock of the Company or the Bylaws or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result, to the Company’s knowledge, in a violation of any law, rule, regulation, order, judgment or decree (including federal and state securities laws and regulations and the rules and regulations of the Principal Market applicable to the Company or any of its Subsidiaries) or by which any property or asset of the Company or any of its Subsidiaries is bound or affected, except in the case of conflicts, defaults, terminations, amendments, accelerations, cancellations and violations under clause (ii), which would not reasonably be expected to result in a Material Adverse Effect. Except as disclosed in </w:t>
      </w:r>
      <w:r>
        <w:rPr>
          <w:rFonts w:ascii="Arial" w:cs="Arial" w:eastAsia="Arial" w:hAnsi="Arial"/>
          <w:sz w:val="16"/>
          <w:szCs w:val="16"/>
          <w:u w:val="single" w:color="auto"/>
          <w:color w:val="auto"/>
        </w:rPr>
        <w:t>Schedule 3(e)</w:t>
      </w:r>
      <w:r>
        <w:rPr>
          <w:rFonts w:ascii="Arial" w:cs="Arial" w:eastAsia="Arial" w:hAnsi="Arial"/>
          <w:sz w:val="16"/>
          <w:szCs w:val="16"/>
          <w:color w:val="auto"/>
        </w:rPr>
        <w:t xml:space="preserve">, neither the Company nor its Subsidiaries is in violation of any term of or in default under its Certificate of Incorporation, any Certificate of Designation, Preferences and Rights of any outstanding series of preferred stock of the Company or the Bylaws or their organizational charter or bylaws, respectively. Except as disclosed in </w:t>
      </w:r>
      <w:r>
        <w:rPr>
          <w:rFonts w:ascii="Arial" w:cs="Arial" w:eastAsia="Arial" w:hAnsi="Arial"/>
          <w:sz w:val="16"/>
          <w:szCs w:val="16"/>
          <w:u w:val="single" w:color="auto"/>
          <w:color w:val="auto"/>
        </w:rPr>
        <w:t>Schedule 3(e)</w:t>
      </w:r>
      <w:r>
        <w:rPr>
          <w:rFonts w:ascii="Arial" w:cs="Arial" w:eastAsia="Arial" w:hAnsi="Arial"/>
          <w:sz w:val="16"/>
          <w:szCs w:val="16"/>
          <w:color w:val="auto"/>
        </w:rPr>
        <w:t>, neither the Company nor any of its Subsidiaries is in violation of any term of or is in default under any material contract, agreement, mortgage, indebtedness, indenture, instrument, judgment, decree or order or any statute, rule or regulation applicable to the Company or its Subsidiaries, except for possible violations, defaults, terminations or amendments that would not reasonably be expected to have a Material Adverse Effect. The business of the Company and its Subsidiaries is not being conducted, and shall not be conducted, in violation of any law, ordinance, or regulation of any governmental entity, except for possible violations, the sanctions for which either individually or in the aggregate would not reasonably be expected to have a Material Adverse Effect. Except as specifically contemplated by this Agreement, reporting obligations under the 1934 Act, or as required under the 1933 Act or applicable state securities laws or the filing of a Listing of Additional Shares Notification Form with the Principal Market, the Company is not required to obtain any consent, authorization or order of, or make any filing or registration with, any court or governmental agency or any regulatory or self-regulatory agency in order for it to execute, deliver or perform any of its obligations under or contemplated by the Transaction Documents in accordance with the terms hereof or</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41" w:right="259" w:bottom="1440" w:gutter="0" w:footer="0" w:header="0"/>
        </w:sectPr>
      </w:pPr>
    </w:p>
    <w:bookmarkStart w:id="10" w:name="page11"/>
    <w:bookmarkEnd w:id="10"/>
    <w:p>
      <w:pPr>
        <w:ind w:right="80"/>
        <w:spacing w:after="0" w:line="276" w:lineRule="auto"/>
        <w:rPr>
          <w:sz w:val="20"/>
          <w:szCs w:val="20"/>
          <w:color w:val="auto"/>
        </w:rPr>
      </w:pPr>
      <w:r>
        <w:rPr>
          <w:rFonts w:ascii="Arial" w:cs="Arial" w:eastAsia="Arial" w:hAnsi="Arial"/>
          <w:sz w:val="17"/>
          <w:szCs w:val="17"/>
          <w:color w:val="auto"/>
        </w:rPr>
        <w:t xml:space="preserve">thereof. Except as disclosed in </w:t>
      </w:r>
      <w:r>
        <w:rPr>
          <w:rFonts w:ascii="Arial" w:cs="Arial" w:eastAsia="Arial" w:hAnsi="Arial"/>
          <w:sz w:val="17"/>
          <w:szCs w:val="17"/>
          <w:u w:val="single" w:color="auto"/>
          <w:color w:val="auto"/>
        </w:rPr>
        <w:t>Schedule 3(e)</w:t>
      </w:r>
      <w:r>
        <w:rPr>
          <w:rFonts w:ascii="Arial" w:cs="Arial" w:eastAsia="Arial" w:hAnsi="Arial"/>
          <w:sz w:val="17"/>
          <w:szCs w:val="17"/>
          <w:color w:val="auto"/>
        </w:rPr>
        <w:t xml:space="preserve"> and for reporting obligations under the 1934 Act, all consents, authorizations, orders, filings and registrations which the Company is required to obtain pursuant to the preceding sentence shall be obtained or effected on or prior to the Commencement Date. Except as disclosed in </w:t>
      </w:r>
      <w:r>
        <w:rPr>
          <w:rFonts w:ascii="Arial" w:cs="Arial" w:eastAsia="Arial" w:hAnsi="Arial"/>
          <w:sz w:val="17"/>
          <w:szCs w:val="17"/>
          <w:u w:val="single" w:color="auto"/>
          <w:color w:val="auto"/>
        </w:rPr>
        <w:t>Schedule 3(e)</w:t>
      </w:r>
      <w:r>
        <w:rPr>
          <w:rFonts w:ascii="Arial" w:cs="Arial" w:eastAsia="Arial" w:hAnsi="Arial"/>
          <w:sz w:val="17"/>
          <w:szCs w:val="17"/>
          <w:color w:val="auto"/>
        </w:rPr>
        <w:t xml:space="preserve">, the Company is not subject to any notices or actions from or to the Principal Market other than routine matters incident to listing on the Principal Market and not involving a violation of the rules of the Principal Market. Except as disclosed in </w:t>
      </w:r>
      <w:r>
        <w:rPr>
          <w:rFonts w:ascii="Arial" w:cs="Arial" w:eastAsia="Arial" w:hAnsi="Arial"/>
          <w:sz w:val="17"/>
          <w:szCs w:val="17"/>
          <w:u w:val="single" w:color="auto"/>
          <w:color w:val="auto"/>
        </w:rPr>
        <w:t>Schedule 3(e)</w:t>
      </w:r>
      <w:r>
        <w:rPr>
          <w:rFonts w:ascii="Arial" w:cs="Arial" w:eastAsia="Arial" w:hAnsi="Arial"/>
          <w:sz w:val="17"/>
          <w:szCs w:val="17"/>
          <w:color w:val="auto"/>
        </w:rPr>
        <w:t>, to the Company’s knowledge, the Principal Market has not commenced any delisting proceedings against the Company.</w:t>
      </w:r>
    </w:p>
    <w:p>
      <w:pPr>
        <w:spacing w:after="0" w:line="173" w:lineRule="exact"/>
        <w:rPr>
          <w:sz w:val="20"/>
          <w:szCs w:val="20"/>
          <w:color w:val="auto"/>
        </w:rPr>
      </w:pPr>
    </w:p>
    <w:p>
      <w:pPr>
        <w:ind w:firstLine="489"/>
        <w:spacing w:after="0" w:line="267" w:lineRule="auto"/>
        <w:tabs>
          <w:tab w:leader="none" w:pos="724"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SEC Documents; Financial Statements</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3(f)</w:t>
      </w:r>
      <w:r>
        <w:rPr>
          <w:rFonts w:ascii="Arial" w:cs="Arial" w:eastAsia="Arial" w:hAnsi="Arial"/>
          <w:sz w:val="17"/>
          <w:szCs w:val="17"/>
          <w:color w:val="auto"/>
        </w:rPr>
        <w:t>, the Company has filed all reports, schedules, forms, statements and other documents required to be filed by it with the SEC pursuant to the reporting requirements of the 1933 Act or 1934 Act (all of the foregoing filed prior to the date hereof and all exhibits included therein and financial statements and schedules thereto and documents incorporated by reference therein being hereinafter referred to as the “</w:t>
      </w:r>
      <w:r>
        <w:rPr>
          <w:rFonts w:ascii="Arial" w:cs="Arial" w:eastAsia="Arial" w:hAnsi="Arial"/>
          <w:sz w:val="17"/>
          <w:szCs w:val="17"/>
          <w:b w:val="1"/>
          <w:bCs w:val="1"/>
          <w:color w:val="auto"/>
        </w:rPr>
        <w:t>SEC Documents</w:t>
      </w:r>
      <w:r>
        <w:rPr>
          <w:rFonts w:ascii="Arial" w:cs="Arial" w:eastAsia="Arial" w:hAnsi="Arial"/>
          <w:sz w:val="17"/>
          <w:szCs w:val="17"/>
          <w:color w:val="auto"/>
        </w:rPr>
        <w:t xml:space="preserve">”). As of their respective dates (except as they have been correctly amended), the SEC Documents complied in all material respects with the requirements of the 1933 Act and 1934 Act and the rules and regulations of the SEC promulgated thereunder applicable to the SEC Documents, and none of the SEC Documents, at the time they were filed with the SEC (except as they may have been properly amended), contained any untrue statement of a material fact or omitted to state a material fact required to be stated therein or necessary in order to make the statements therein, in light of the circumstances under which they were made, not misleading. As of their respective dates (except as they have been properly amended), the financial statements of the Company included in the SEC Documents complied as to form in all material respects with applicable accounting requirements and the published rules and regulations of the SEC with respect thereto.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Except as disclosed in </w:t>
      </w:r>
      <w:r>
        <w:rPr>
          <w:rFonts w:ascii="Arial" w:cs="Arial" w:eastAsia="Arial" w:hAnsi="Arial"/>
          <w:sz w:val="17"/>
          <w:szCs w:val="17"/>
          <w:u w:val="single" w:color="auto"/>
          <w:color w:val="auto"/>
        </w:rPr>
        <w:t>Schedule 3(f)</w:t>
      </w:r>
      <w:r>
        <w:rPr>
          <w:rFonts w:ascii="Arial" w:cs="Arial" w:eastAsia="Arial" w:hAnsi="Arial"/>
          <w:sz w:val="17"/>
          <w:szCs w:val="17"/>
          <w:color w:val="auto"/>
        </w:rPr>
        <w:t xml:space="preserve"> or routine correspondence, such as comment letters and notices of effectiveness in connection with previously filed registration statements or periodic reports publicly available on EDGAR, to the Company’s knowledge, the Company or any of its Subsidiaries are not presently the subject of any inquiry, investigation or action by the SEC.</w:t>
      </w:r>
    </w:p>
    <w:p>
      <w:pPr>
        <w:spacing w:after="0" w:line="192" w:lineRule="exact"/>
        <w:rPr>
          <w:rFonts w:ascii="Arial" w:cs="Arial" w:eastAsia="Arial" w:hAnsi="Arial"/>
          <w:sz w:val="17"/>
          <w:szCs w:val="17"/>
          <w:color w:val="auto"/>
        </w:rPr>
      </w:pPr>
    </w:p>
    <w:p>
      <w:pPr>
        <w:ind w:right="80" w:firstLine="489"/>
        <w:spacing w:after="0" w:line="255" w:lineRule="auto"/>
        <w:tabs>
          <w:tab w:leader="none" w:pos="741"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Schedule 3(g)</w:t>
      </w:r>
      <w:r>
        <w:rPr>
          <w:rFonts w:ascii="Arial" w:cs="Arial" w:eastAsia="Arial" w:hAnsi="Arial"/>
          <w:sz w:val="18"/>
          <w:szCs w:val="18"/>
          <w:color w:val="auto"/>
        </w:rPr>
        <w:t>, since September 30, 2018, there has been no material adverse change in the business, properties, operations, financial condition or results of operations of the Company or its Subsidiaries taken as a whole. For purposes of this Agreement, neither a decrease in cash or cash equivalents or in the market price of the Common Stock nor losses incurred in the ordinary course of the Company’s business shall be deemed or considered a material adverse change. 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r>
        <w:rPr>
          <w:rFonts w:ascii="Arial" w:cs="Arial" w:eastAsia="Arial" w:hAnsi="Arial"/>
          <w:sz w:val="18"/>
          <w:szCs w:val="18"/>
          <w:b w:val="1"/>
          <w:bCs w:val="1"/>
          <w:color w:val="auto"/>
        </w:rPr>
        <w:t>.</w:t>
      </w:r>
    </w:p>
    <w:p>
      <w:pPr>
        <w:spacing w:after="0" w:line="189" w:lineRule="exact"/>
        <w:rPr>
          <w:rFonts w:ascii="Arial" w:cs="Arial" w:eastAsia="Arial" w:hAnsi="Arial"/>
          <w:sz w:val="18"/>
          <w:szCs w:val="18"/>
          <w:color w:val="auto"/>
        </w:rPr>
      </w:pPr>
    </w:p>
    <w:p>
      <w:pPr>
        <w:ind w:left="720" w:hanging="281"/>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Absence of Litigation</w:t>
      </w:r>
      <w:r>
        <w:rPr>
          <w:rFonts w:ascii="Arial" w:cs="Arial" w:eastAsia="Arial" w:hAnsi="Arial"/>
          <w:sz w:val="17"/>
          <w:szCs w:val="17"/>
          <w:color w:val="auto"/>
        </w:rPr>
        <w:t xml:space="preserve">. Except as disclosed in </w:t>
      </w:r>
      <w:r>
        <w:rPr>
          <w:rFonts w:ascii="Arial" w:cs="Arial" w:eastAsia="Arial" w:hAnsi="Arial"/>
          <w:sz w:val="17"/>
          <w:szCs w:val="17"/>
          <w:u w:val="single" w:color="auto"/>
          <w:color w:val="auto"/>
        </w:rPr>
        <w:t>Schedule 3(h)</w:t>
      </w:r>
      <w:r>
        <w:rPr>
          <w:rFonts w:ascii="Arial" w:cs="Arial" w:eastAsia="Arial" w:hAnsi="Arial"/>
          <w:sz w:val="17"/>
          <w:szCs w:val="17"/>
          <w:color w:val="auto"/>
        </w:rPr>
        <w:t>, to the Company’s knowledge, there is no action, suit, proceeding, inquiry or</w:t>
      </w:r>
    </w:p>
    <w:p>
      <w:pPr>
        <w:spacing w:after="0" w:line="34" w:lineRule="exact"/>
        <w:rPr>
          <w:rFonts w:ascii="Arial" w:cs="Arial" w:eastAsia="Arial" w:hAnsi="Arial"/>
          <w:sz w:val="17"/>
          <w:szCs w:val="17"/>
          <w:color w:val="auto"/>
        </w:rPr>
      </w:pPr>
    </w:p>
    <w:p>
      <w:pPr>
        <w:ind w:right="20"/>
        <w:spacing w:after="0" w:line="254" w:lineRule="auto"/>
        <w:rPr>
          <w:rFonts w:ascii="Arial" w:cs="Arial" w:eastAsia="Arial" w:hAnsi="Arial"/>
          <w:sz w:val="17"/>
          <w:szCs w:val="17"/>
          <w:color w:val="auto"/>
        </w:rPr>
      </w:pPr>
      <w:r>
        <w:rPr>
          <w:rFonts w:ascii="Arial" w:cs="Arial" w:eastAsia="Arial" w:hAnsi="Arial"/>
          <w:sz w:val="18"/>
          <w:szCs w:val="18"/>
          <w:color w:val="auto"/>
        </w:rPr>
        <w:t>investigation before or by any court, public board, government agency, self-regulatory organization or body pending or, to the knowledge of the Company or any of its Subsidiaries, threatened against the Company, the Common Stock or any of the Company’s Subsidiaries or any of the Company’s or the Company’s Subsidiaries’ officers or directors in their capacities as such, which would reasonably be expected to have a Material Adverse Effect (each, an “</w:t>
      </w:r>
      <w:r>
        <w:rPr>
          <w:rFonts w:ascii="Arial" w:cs="Arial" w:eastAsia="Arial" w:hAnsi="Arial"/>
          <w:sz w:val="18"/>
          <w:szCs w:val="18"/>
          <w:b w:val="1"/>
          <w:bCs w:val="1"/>
          <w:color w:val="auto"/>
        </w:rPr>
        <w:t>Action</w:t>
      </w:r>
      <w:r>
        <w:rPr>
          <w:rFonts w:ascii="Arial" w:cs="Arial" w:eastAsia="Arial" w:hAnsi="Arial"/>
          <w:sz w:val="18"/>
          <w:szCs w:val="18"/>
          <w:color w:val="auto"/>
        </w:rPr>
        <w:t xml:space="preserve">”). A description of each such Action, if any, is set forth in </w:t>
      </w:r>
      <w:r>
        <w:rPr>
          <w:rFonts w:ascii="Arial" w:cs="Arial" w:eastAsia="Arial" w:hAnsi="Arial"/>
          <w:sz w:val="18"/>
          <w:szCs w:val="18"/>
          <w:u w:val="single" w:color="auto"/>
          <w:color w:val="auto"/>
        </w:rPr>
        <w:t>Schedule 3(h)</w:t>
      </w:r>
      <w:r>
        <w:rPr>
          <w:rFonts w:ascii="Arial" w:cs="Arial" w:eastAsia="Arial" w:hAnsi="Arial"/>
          <w:sz w:val="18"/>
          <w:szCs w:val="18"/>
          <w:color w:val="auto"/>
        </w:rPr>
        <w:t>.</w:t>
      </w:r>
    </w:p>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11" w:name="page12"/>
    <w:bookmarkEnd w:id="11"/>
    <w:p>
      <w:pPr>
        <w:ind w:firstLine="439"/>
        <w:spacing w:after="0" w:line="255" w:lineRule="auto"/>
        <w:tabs>
          <w:tab w:leader="none" w:pos="6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Acknowledgment Regarding Buyer’s Status</w:t>
      </w:r>
      <w:r>
        <w:rPr>
          <w:rFonts w:ascii="Arial" w:cs="Arial" w:eastAsia="Arial" w:hAnsi="Arial"/>
          <w:sz w:val="18"/>
          <w:szCs w:val="18"/>
          <w:color w:val="auto"/>
        </w:rPr>
        <w:t xml:space="preserve"> . The Company acknowledges and agrees that the Buyer is acting solely in the capacity of arm’s length purchaser with respect to the Transaction Documents and the transactions contemplated hereby and thereby. The Company further acknowledges that the Buyer is not acting as a financial advisor or fiduciary of the Company (or in any similar capacity) with respect to the Transaction Documents and the transactions contemplated hereby and thereby and any advice given by the Buyer or any of its representatives or agents in connection with the Transaction Documents and the transactions contemplated hereby and thereby is merely incidental to the Buyer’s purchase of the Securities. The Company further represents to the Buyer that the Company’s decision to enter into the Transaction Documents has been based solely on the independent evaluation by the Company and its representatives and advisors.</w:t>
      </w:r>
    </w:p>
    <w:p>
      <w:pPr>
        <w:spacing w:after="0" w:line="189" w:lineRule="exact"/>
        <w:rPr>
          <w:rFonts w:ascii="Arial" w:cs="Arial" w:eastAsia="Arial" w:hAnsi="Arial"/>
          <w:sz w:val="18"/>
          <w:szCs w:val="18"/>
          <w:color w:val="auto"/>
        </w:rPr>
      </w:pPr>
    </w:p>
    <w:p>
      <w:pPr>
        <w:ind w:firstLine="439"/>
        <w:spacing w:after="0" w:line="288" w:lineRule="auto"/>
        <w:tabs>
          <w:tab w:leader="none" w:pos="67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To the Company’s knowledge,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other intellectual property rights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necessary to conduct their respective businesses as now conducted, except as set forth in </w:t>
      </w:r>
      <w:r>
        <w:rPr>
          <w:rFonts w:ascii="Arial" w:cs="Arial" w:eastAsia="Arial" w:hAnsi="Arial"/>
          <w:sz w:val="16"/>
          <w:szCs w:val="16"/>
          <w:u w:val="single" w:color="auto"/>
          <w:color w:val="auto"/>
        </w:rPr>
        <w:t>Schedule 3(j)</w:t>
      </w:r>
      <w:r>
        <w:rPr>
          <w:rFonts w:ascii="Arial" w:cs="Arial" w:eastAsia="Arial" w:hAnsi="Arial"/>
          <w:sz w:val="16"/>
          <w:szCs w:val="16"/>
          <w:color w:val="auto"/>
        </w:rPr>
        <w:t xml:space="preserve"> or to the extent that the failure to own, possess, license or otherwise hold adequate rights to use Intellectual Property would not, individually or in the aggregate, have a Material Adverse Effect. Except as disclosed in </w:t>
      </w:r>
      <w:r>
        <w:rPr>
          <w:rFonts w:ascii="Arial" w:cs="Arial" w:eastAsia="Arial" w:hAnsi="Arial"/>
          <w:sz w:val="16"/>
          <w:szCs w:val="16"/>
          <w:u w:val="single" w:color="auto"/>
          <w:color w:val="auto"/>
        </w:rPr>
        <w:t>Schedule 3(j)</w:t>
      </w:r>
      <w:r>
        <w:rPr>
          <w:rFonts w:ascii="Arial" w:cs="Arial" w:eastAsia="Arial" w:hAnsi="Arial"/>
          <w:sz w:val="16"/>
          <w:szCs w:val="16"/>
          <w:color w:val="auto"/>
        </w:rPr>
        <w:t xml:space="preserve">, to the Company’s knowledge, none of the Company’s active and registered Intellectual Property have expired or terminated, or, by the terms and conditions thereof, will expire or terminate within two years from the date of this Agreement, except as would not reasonably be expected to have a Material Adverse Effect. The Company and its Subsidiaries do not have any knowledge of any infringement by the Company or its Subsidiaries of any Intellectual Property of others and, except as set forth on </w:t>
      </w:r>
      <w:r>
        <w:rPr>
          <w:rFonts w:ascii="Arial" w:cs="Arial" w:eastAsia="Arial" w:hAnsi="Arial"/>
          <w:sz w:val="16"/>
          <w:szCs w:val="16"/>
          <w:u w:val="single" w:color="auto"/>
          <w:color w:val="auto"/>
        </w:rPr>
        <w:t>Schedule 3(j)</w:t>
      </w:r>
      <w:r>
        <w:rPr>
          <w:rFonts w:ascii="Arial" w:cs="Arial" w:eastAsia="Arial" w:hAnsi="Arial"/>
          <w:sz w:val="16"/>
          <w:szCs w:val="16"/>
          <w:color w:val="auto"/>
        </w:rPr>
        <w:t>, there is no claim, action or proceeding being made or brought against, or to the Company’s knowledge, being threatened against, the Company or its Subsidiaries regarding Intellectual Property, which could reasonably be expected to have a Material Adverse Effect.</w:t>
      </w:r>
    </w:p>
    <w:p>
      <w:pPr>
        <w:spacing w:after="0" w:line="169" w:lineRule="exact"/>
        <w:rPr>
          <w:rFonts w:ascii="Arial" w:cs="Arial" w:eastAsia="Arial" w:hAnsi="Arial"/>
          <w:sz w:val="16"/>
          <w:szCs w:val="16"/>
          <w:color w:val="auto"/>
        </w:rPr>
      </w:pPr>
    </w:p>
    <w:p>
      <w:pPr>
        <w:ind w:right="160" w:firstLine="439"/>
        <w:spacing w:after="0" w:line="273" w:lineRule="auto"/>
        <w:tabs>
          <w:tab w:leader="none" w:pos="71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To the Company’s knowledge, the Company and its Subsidiaries (i) are in material compliance with any and all applicable foreign, federal, state and local laws and regulations relating to the protection of human health and safety or the environment and with respect to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material permits, licenses or other approvals required of them under applicable Environmental Laws to conduct their respective businesses and (iii) are in material compliance with all terms and conditions of any such permit, license or approval, except where, in each of the three foregoing clauses, the failure to so comply or receive such approvals would not reasonably be expected to have, individually or in the aggregate, a Material Adverse Effect.</w:t>
      </w:r>
    </w:p>
    <w:p>
      <w:pPr>
        <w:spacing w:after="0" w:line="178" w:lineRule="exact"/>
        <w:rPr>
          <w:rFonts w:ascii="Arial" w:cs="Arial" w:eastAsia="Arial" w:hAnsi="Arial"/>
          <w:sz w:val="17"/>
          <w:szCs w:val="17"/>
          <w:color w:val="auto"/>
        </w:rPr>
      </w:pPr>
    </w:p>
    <w:p>
      <w:pPr>
        <w:ind w:right="100" w:firstLine="440"/>
        <w:spacing w:after="0" w:line="255" w:lineRule="auto"/>
        <w:tabs>
          <w:tab w:leader="none" w:pos="69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xml:space="preserve">. The Company and its Subsidiaries have good and marketable title to all personal property owned by them that is material to the business of the Company and its Subsidiaries, in each case free and clear of all liens, encumbrances and defects except such as are described in </w:t>
      </w:r>
      <w:r>
        <w:rPr>
          <w:rFonts w:ascii="Arial" w:cs="Arial" w:eastAsia="Arial" w:hAnsi="Arial"/>
          <w:sz w:val="18"/>
          <w:szCs w:val="18"/>
          <w:u w:val="single" w:color="auto"/>
          <w:color w:val="auto"/>
        </w:rPr>
        <w:t>Schedule 3(l)</w:t>
      </w:r>
      <w:r>
        <w:rPr>
          <w:rFonts w:ascii="Arial" w:cs="Arial" w:eastAsia="Arial" w:hAnsi="Arial"/>
          <w:sz w:val="18"/>
          <w:szCs w:val="18"/>
          <w:color w:val="auto"/>
        </w:rPr>
        <w:t xml:space="preserve"> or such as do not materially affect the value of such property and do not interfere with the use made and proposed to be made of such property by the Company and any of its Subsidiaries or would not reasonably be expected to have, individually or in the aggregate, a Material Adverse Effect. Any real property and facilities held under lease by the Company and any of its Subsidiaries, to the Company’s knowledge, are held by them under valid, subsisting and enforceable leases with such exceptions as are not material and do not interfere with the use made and proposed to be made of such property and buildings by the Company and its Subsidiaries.</w:t>
      </w:r>
    </w:p>
    <w:p>
      <w:pPr>
        <w:spacing w:after="0" w:line="189" w:lineRule="exact"/>
        <w:rPr>
          <w:rFonts w:ascii="Arial" w:cs="Arial" w:eastAsia="Arial" w:hAnsi="Arial"/>
          <w:sz w:val="18"/>
          <w:szCs w:val="18"/>
          <w:color w:val="auto"/>
        </w:rPr>
      </w:pPr>
    </w:p>
    <w:p>
      <w:pPr>
        <w:ind w:firstLine="439"/>
        <w:spacing w:after="0" w:line="255" w:lineRule="auto"/>
        <w:tabs>
          <w:tab w:leader="none" w:pos="7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are insured by insurers of recognized financial responsibility against such losses and risks and in such amounts as management of the Company believes to be reasonable and customary in the businesses in which the Company and its Subsidiaries are engaged. To the Company’s knowledge, neither the Company nor any such Subsidiary has been refused any insurance coverage sought or applied for and neither the Company nor any such Subsidiary, to the Company’s knowledge, will be unable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12" w:name="page13"/>
    <w:bookmarkEnd w:id="12"/>
    <w:p>
      <w:pPr>
        <w:ind w:firstLine="439"/>
        <w:spacing w:after="0" w:line="312" w:lineRule="auto"/>
        <w:tabs>
          <w:tab w:leader="none" w:pos="71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its Subsidiaries possess all material certificates, authorizations and permits issued by the appropriate federal, state or foreign regulatory authorities necessary to conduct their respective businesses as currently conducted, and neither the Company nor any such Subsidiary has received any written notice of proceedings relating to the revocation or modification of any such material certificate, authorization or permit.</w:t>
      </w:r>
    </w:p>
    <w:p>
      <w:pPr>
        <w:spacing w:after="0" w:line="146" w:lineRule="exact"/>
        <w:rPr>
          <w:rFonts w:ascii="Arial" w:cs="Arial" w:eastAsia="Arial" w:hAnsi="Arial"/>
          <w:sz w:val="16"/>
          <w:szCs w:val="16"/>
          <w:color w:val="auto"/>
        </w:rPr>
      </w:pPr>
    </w:p>
    <w:p>
      <w:pPr>
        <w:ind w:firstLine="439"/>
        <w:spacing w:after="0" w:line="255" w:lineRule="auto"/>
        <w:tabs>
          <w:tab w:leader="none" w:pos="71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The Company and each of its Subsidiaries has made or filed all federal and state income and all other material tax returns, reports and declarations required by any jurisdiction to which it is subject (unless and only to the extent that the Company and each of its Subsidiaries has set aside on its books reserves reasonably adequate for the payment of all unpaid and unreported taxes or filed valid extensions) and has paid all taxes and other governmental assessments and charges that are material in amount, shown or determined to be due on such returns, reports and declarations, except those being contested in good faith and has set aside on its books reserves reasonably adequate for the payment of all taxes for periods subsequent to the periods to which such returns, reports or declarations apply. To the Company’s knowledge, there are no unpaid taxes in any material amount claimed to be due by the taxing authority of any jurisdiction.</w:t>
      </w:r>
    </w:p>
    <w:p>
      <w:pPr>
        <w:spacing w:after="0" w:line="189" w:lineRule="exact"/>
        <w:rPr>
          <w:rFonts w:ascii="Arial" w:cs="Arial" w:eastAsia="Arial" w:hAnsi="Arial"/>
          <w:sz w:val="18"/>
          <w:szCs w:val="18"/>
          <w:color w:val="auto"/>
        </w:rPr>
      </w:pPr>
    </w:p>
    <w:p>
      <w:pPr>
        <w:ind w:firstLine="439"/>
        <w:spacing w:after="0" w:line="291" w:lineRule="auto"/>
        <w:tabs>
          <w:tab w:leader="none" w:pos="71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3(p)</w:t>
      </w:r>
      <w:r>
        <w:rPr>
          <w:rFonts w:ascii="Arial" w:cs="Arial" w:eastAsia="Arial" w:hAnsi="Arial"/>
          <w:sz w:val="16"/>
          <w:szCs w:val="16"/>
          <w:color w:val="auto"/>
        </w:rPr>
        <w:t xml:space="preserve"> or in the SEC Documents and other than the grant or exercise of stock options or any other equity securities offered pursuant to duly adopted stock or incentive compensation plans as disclosed on </w:t>
      </w:r>
      <w:r>
        <w:rPr>
          <w:rFonts w:ascii="Arial" w:cs="Arial" w:eastAsia="Arial" w:hAnsi="Arial"/>
          <w:sz w:val="16"/>
          <w:szCs w:val="16"/>
          <w:u w:val="single" w:color="auto"/>
          <w:color w:val="auto"/>
        </w:rPr>
        <w:t>Schedule 3(c)</w:t>
      </w:r>
      <w:r>
        <w:rPr>
          <w:rFonts w:ascii="Arial" w:cs="Arial" w:eastAsia="Arial" w:hAnsi="Arial"/>
          <w:sz w:val="16"/>
          <w:szCs w:val="16"/>
          <w:color w:val="auto"/>
        </w:rPr>
        <w:t xml:space="preserve"> or in the SEC Documents, none of the officers, directors or employees of the Company is presently a party to any transaction with the Company or any of its Subsidiaries (other than for services as employees, officers and directors and reimbursement for expenses incurred on behalf of the Company),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corporation, partnership, trust or other entity in which any officer, director, or any such employee has a material interest or is an officer, director, trustee or general partner.</w:t>
      </w:r>
    </w:p>
    <w:p>
      <w:pPr>
        <w:spacing w:after="0" w:line="167" w:lineRule="exact"/>
        <w:rPr>
          <w:rFonts w:ascii="Arial" w:cs="Arial" w:eastAsia="Arial" w:hAnsi="Arial"/>
          <w:sz w:val="16"/>
          <w:szCs w:val="16"/>
          <w:color w:val="auto"/>
        </w:rPr>
      </w:pPr>
    </w:p>
    <w:p>
      <w:pPr>
        <w:ind w:right="40" w:firstLine="439"/>
        <w:spacing w:after="0" w:line="276" w:lineRule="auto"/>
        <w:tabs>
          <w:tab w:leader="none" w:pos="718"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Application of Takeover Protections</w:t>
      </w:r>
      <w:r>
        <w:rPr>
          <w:rFonts w:ascii="Arial" w:cs="Arial" w:eastAsia="Arial" w:hAnsi="Arial"/>
          <w:sz w:val="17"/>
          <w:szCs w:val="17"/>
          <w:color w:val="auto"/>
        </w:rPr>
        <w:t>. The Company and its board of directors have taken or will take prior to the Commencement Date all necessary action, if any, in order to render inapplicable any control share acquisition, business combination, poison pill (including any distribution under a rights agreement) or other similar anti-takeover provision under the Certificate of Incorporation or the laws of the state of its incorporation, other than Section 203 of the Delaware General Corporation Law, which is or could become applicable to the Buyer as a result of the transactions contemplated by this Agreement, including, without limitation, the Company’s issuance of the Securities and the Buyer’s ownership of the Securities.</w:t>
      </w:r>
    </w:p>
    <w:p>
      <w:pPr>
        <w:spacing w:after="0" w:line="172" w:lineRule="exact"/>
        <w:rPr>
          <w:rFonts w:ascii="Arial" w:cs="Arial" w:eastAsia="Arial" w:hAnsi="Arial"/>
          <w:sz w:val="17"/>
          <w:szCs w:val="17"/>
          <w:color w:val="auto"/>
        </w:rPr>
      </w:pPr>
    </w:p>
    <w:p>
      <w:pPr>
        <w:ind w:right="100" w:firstLine="439"/>
        <w:spacing w:after="0" w:line="257" w:lineRule="auto"/>
        <w:tabs>
          <w:tab w:leader="none" w:pos="70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The Existing Shelf Registration Statement (as defined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hereof) has been declared effective by the SEC, and no stop order has been issued or is pending or, to the knowledge of the Company, threatened by the SEC with respect thereto. As of the date hereof, the Company has an amount of securities registered and unsold under the Existing Shelf Registration Statement, which is not less than the sum of the Purchase Shares and Commitment Shares, excluding for the avoidance of doubt, any Purchase Shares issuable in connection with the Company’s exercise of the Upsize Option.</w:t>
      </w:r>
    </w:p>
    <w:p>
      <w:pPr>
        <w:spacing w:after="0" w:line="184" w:lineRule="exact"/>
        <w:rPr>
          <w:rFonts w:ascii="Arial" w:cs="Arial" w:eastAsia="Arial" w:hAnsi="Arial"/>
          <w:sz w:val="18"/>
          <w:szCs w:val="18"/>
          <w:color w:val="auto"/>
        </w:rPr>
      </w:pPr>
    </w:p>
    <w:p>
      <w:pPr>
        <w:ind w:left="680" w:hanging="345"/>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auto"/>
        </w:rPr>
      </w:pPr>
    </w:p>
    <w:p>
      <w:pPr>
        <w:ind w:right="120" w:firstLine="439"/>
        <w:spacing w:after="0" w:line="257" w:lineRule="auto"/>
        <w:tabs>
          <w:tab w:leader="none" w:pos="70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Filing of Form 8-K and Prospectus Supplement</w:t>
      </w:r>
      <w:r>
        <w:rPr>
          <w:rFonts w:ascii="Arial" w:cs="Arial" w:eastAsia="Arial" w:hAnsi="Arial"/>
          <w:sz w:val="18"/>
          <w:szCs w:val="18"/>
          <w:color w:val="auto"/>
        </w:rPr>
        <w:t>. The Company agrees that it shall, within the time required under the 1934 Act, file a Current Report on Form 8-K disclosing this Agreement and the transaction contemplated hereby if required under federal securities law. The Company shall file on the date hereof a prospectus supplement to the Company’s existing shelf registration statement on Form S-3 (File No. 333-220236, the “</w:t>
      </w:r>
      <w:r>
        <w:rPr>
          <w:rFonts w:ascii="Arial" w:cs="Arial" w:eastAsia="Arial" w:hAnsi="Arial"/>
          <w:sz w:val="18"/>
          <w:szCs w:val="18"/>
          <w:b w:val="1"/>
          <w:bCs w:val="1"/>
          <w:color w:val="auto"/>
        </w:rPr>
        <w:t>Existing Shelf</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covering the sale of all or a portion of the Purchase Shares, at the Company’s sole discretion, and all Commitment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with the</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41" w:right="259" w:bottom="1440" w:gutter="0" w:footer="0" w:header="0"/>
        </w:sectPr>
      </w:pPr>
    </w:p>
    <w:bookmarkStart w:id="13" w:name="page14"/>
    <w:bookmarkEnd w:id="13"/>
    <w:p>
      <w:pPr>
        <w:ind w:left="80" w:right="40"/>
        <w:spacing w:after="0" w:line="287" w:lineRule="auto"/>
        <w:rPr>
          <w:sz w:val="20"/>
          <w:szCs w:val="20"/>
          <w:color w:val="auto"/>
        </w:rPr>
      </w:pPr>
      <w:r>
        <w:rPr>
          <w:rFonts w:ascii="Arial" w:cs="Arial" w:eastAsia="Arial" w:hAnsi="Arial"/>
          <w:sz w:val="16"/>
          <w:szCs w:val="16"/>
          <w:color w:val="auto"/>
        </w:rPr>
        <w:t>Commitment Shares)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in accordance with the terms of the Agreement and (ii) within five (5) Business Days of the date hereof, a shelf registration statement on Form S-3 (the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and, together with Existing Shelf Registration Statement, the “</w:t>
      </w:r>
      <w:r>
        <w:rPr>
          <w:rFonts w:ascii="Arial" w:cs="Arial" w:eastAsia="Arial" w:hAnsi="Arial"/>
          <w:sz w:val="16"/>
          <w:szCs w:val="16"/>
          <w:b w:val="1"/>
          <w:bCs w:val="1"/>
          <w:color w:val="auto"/>
        </w:rPr>
        <w:t>Shelf</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Statements</w:t>
      </w:r>
      <w:r>
        <w:rPr>
          <w:rFonts w:ascii="Arial" w:cs="Arial" w:eastAsia="Arial" w:hAnsi="Arial"/>
          <w:sz w:val="16"/>
          <w:szCs w:val="16"/>
          <w:color w:val="auto"/>
        </w:rPr>
        <w:t>”) covering the resale of all of the Commitment Shares by the Buyer. The Company shall keep the Shelf Registration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pursuant to Rule 415 promulgated under the 1933 Act and available for sales of all Securities issued to and/or held by the Buyer until such time as</w:t>
      </w:r>
    </w:p>
    <w:p>
      <w:pPr>
        <w:spacing w:after="0" w:line="3" w:lineRule="exact"/>
        <w:rPr>
          <w:sz w:val="20"/>
          <w:szCs w:val="20"/>
          <w:color w:val="auto"/>
        </w:rPr>
      </w:pPr>
    </w:p>
    <w:p>
      <w:pPr>
        <w:ind w:left="80" w:hanging="2"/>
        <w:spacing w:after="0" w:line="290" w:lineRule="auto"/>
        <w:tabs>
          <w:tab w:leader="none" w:pos="2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no longer qualifies to make sales under the Shelf Registration Statements (which shall be understood to include the inability of the Company to immediately register sales of Securities to the Buyer under the Shelf Registration Statements or any new registration statement pursuant to General Instruction I.B.6 of Form S-3), (ii) the date on which all the Securities have been sold under this Agreement or (iii) the date that is 30 days after the termination of this Agreement. The Shelf Registration Statements (including any amendments or supplements thereto and prospectuses or prospectus supplements, including the Prospectus Supplement,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64" w:lineRule="exact"/>
        <w:rPr>
          <w:rFonts w:ascii="Arial" w:cs="Arial" w:eastAsia="Arial" w:hAnsi="Arial"/>
          <w:sz w:val="16"/>
          <w:szCs w:val="16"/>
          <w:color w:val="auto"/>
        </w:rPr>
      </w:pPr>
    </w:p>
    <w:p>
      <w:pPr>
        <w:ind w:left="80" w:right="80" w:firstLine="439"/>
        <w:spacing w:after="0" w:line="259" w:lineRule="auto"/>
        <w:tabs>
          <w:tab w:leader="none" w:pos="798"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Blue Sky</w:t>
      </w:r>
      <w:r>
        <w:rPr>
          <w:rFonts w:ascii="Arial" w:cs="Arial" w:eastAsia="Arial" w:hAnsi="Arial"/>
          <w:sz w:val="18"/>
          <w:szCs w:val="18"/>
          <w:color w:val="auto"/>
        </w:rPr>
        <w:t>. The Company shall take such action, if any, as is reasonably necessary in order to obtain an exemption for or to qualify (i) the initial sale of the Securities to the Buyer under this Agreement and (ii) any subsequent sale of the Securities by the Buyer, in each case, under applicable securities or “Blue Sky” laws of the states of the United States in such states as is reasonably requested by the Buyer from time to time, and shall provide evidence of any such action so taken to the Buyer.</w:t>
      </w:r>
    </w:p>
    <w:p>
      <w:pPr>
        <w:spacing w:after="0" w:line="186" w:lineRule="exact"/>
        <w:rPr>
          <w:rFonts w:ascii="Arial" w:cs="Arial" w:eastAsia="Arial" w:hAnsi="Arial"/>
          <w:sz w:val="18"/>
          <w:szCs w:val="18"/>
          <w:color w:val="auto"/>
        </w:rPr>
      </w:pPr>
    </w:p>
    <w:p>
      <w:pPr>
        <w:ind w:left="80" w:right="140" w:firstLine="439"/>
        <w:spacing w:after="0" w:line="254" w:lineRule="auto"/>
        <w:tabs>
          <w:tab w:leader="none" w:pos="80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Company shall promptly secure the listing of all of the Securities upon each national securities exchange and automated quotation system that requires an application by the Company for listing, if any, upon which shares of Common Stock are then listed (subject to official notice of issuance) and shall maintain such listing, so long as any other shares of Common Stock shall be so listed. The Company shall use its commercially reasonable efforts to maintain the Common Stock’s listing on the Principal Market. Neither the Company nor any of its Subsidiaries shall take any action that would be reasonably expected to result in the delisting or suspension of the Common Stock on the Principal Market, unless the Common Stock is immediately thereafter traded on the New York Stock Exchange, the NYSE American, the NASDAQ Global Select Market, the NASDAQ Capital Market, or the OTCQB or OTCQX market places of the OTC Markets. The Company shall pay all fees and expenses in connection with satisfying its obligations under this Section.</w:t>
      </w:r>
    </w:p>
    <w:p>
      <w:pPr>
        <w:spacing w:after="0" w:line="192" w:lineRule="exact"/>
        <w:rPr>
          <w:rFonts w:ascii="Arial" w:cs="Arial" w:eastAsia="Arial" w:hAnsi="Arial"/>
          <w:sz w:val="18"/>
          <w:szCs w:val="18"/>
          <w:color w:val="auto"/>
        </w:rPr>
      </w:pPr>
    </w:p>
    <w:p>
      <w:pPr>
        <w:ind w:left="820" w:hanging="301"/>
        <w:spacing w:after="0"/>
        <w:tabs>
          <w:tab w:leader="none" w:pos="8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80" w:hanging="261"/>
        <w:spacing w:after="0"/>
        <w:tabs>
          <w:tab w:leader="none" w:pos="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539"/>
        <w:spacing w:after="0" w:line="270" w:lineRule="auto"/>
        <w:tabs>
          <w:tab w:leader="none" w:pos="799"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Due Diligence</w:t>
      </w:r>
      <w:r>
        <w:rPr>
          <w:rFonts w:ascii="Arial" w:cs="Arial" w:eastAsia="Arial" w:hAnsi="Arial"/>
          <w:sz w:val="17"/>
          <w:szCs w:val="17"/>
          <w:color w:val="auto"/>
        </w:rPr>
        <w:t xml:space="preserve">. The Buyer shall have the right, from time to time as the Buyer may reasonably deem appropriate, to perform reasonable due diligence on the Company during normal business hours and subject to reasonable prior notice to the Company. The Company and its officers and employees shall provide information and reasonably cooperate with the Buyer in connection with any reasonable request by the Buyer related to the Buyer’s due diligence of the Company, including, but not limited to, any such request made by the Buyer in connection with (i) the filing of the prospectus supplement described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hereof and (ii) the Commencement; provided, however, that at no time is the Company required to disclose material nonpublic information to the Buyer or breach any obligation of confidentiality or non-disclosure to a third party or make any disclosure that could cause a waiver of attorney-client privilege. Each party hereto agrees not to disclose any Confidential Information of the other party to any third party and shall not use the Confidential Information of such other party for any purpose other than in connection with, or in furtherance of, the transactions contemplated hereby. Each party hereto acknowledges that the Confidential Information shall remain the property of the disclosing party and agrees that it shall take all reasonable measures to protect the secrecy of any Confidential Information disclosed by the other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7" w:right="259" w:bottom="1440" w:gutter="0" w:footer="0" w:header="0"/>
        </w:sectPr>
      </w:pPr>
    </w:p>
    <w:bookmarkStart w:id="14" w:name="page15"/>
    <w:bookmarkEnd w:id="14"/>
    <w:p>
      <w:pPr>
        <w:ind w:left="680" w:hanging="345"/>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TRANSFER AGENT INSTRUCTIONS.</w:t>
      </w:r>
    </w:p>
    <w:p>
      <w:pPr>
        <w:spacing w:after="0" w:line="229"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All of the Purchase Shares to be issued under this Agreement shall be issued without any restrictive legend unless the Buyer expressly consents otherwise.</w:t>
      </w:r>
    </w:p>
    <w:p>
      <w:pPr>
        <w:spacing w:after="0" w:line="166" w:lineRule="exact"/>
        <w:rPr>
          <w:sz w:val="20"/>
          <w:szCs w:val="20"/>
          <w:color w:val="auto"/>
        </w:rPr>
      </w:pPr>
    </w:p>
    <w:p>
      <w:pPr>
        <w:ind w:left="680" w:right="780" w:hanging="345"/>
        <w:spacing w:after="0" w:line="282" w:lineRule="auto"/>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RIGHT TO COMMENCE SALES OF SHARES OF COMMON STOCK UNDER THIS AGREEMENT.</w:t>
      </w:r>
    </w:p>
    <w:p>
      <w:pPr>
        <w:spacing w:after="0" w:line="16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right of the Company hereunder to commence sales of the Purchase Shares is subject to the satisfaction of each of the following conditions on or before the Commencement Date (the date that the Company may begin sales of Purchase Shares):</w:t>
      </w:r>
    </w:p>
    <w:p>
      <w:pPr>
        <w:spacing w:after="0" w:line="170" w:lineRule="exact"/>
        <w:rPr>
          <w:sz w:val="20"/>
          <w:szCs w:val="20"/>
          <w:color w:val="auto"/>
        </w:rPr>
      </w:pPr>
    </w:p>
    <w:p>
      <w:pPr>
        <w:ind w:left="660" w:hanging="325"/>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Buyer shall have executed each of the Transaction Documents and delivered the same to the Company;</w:t>
      </w:r>
    </w:p>
    <w:p>
      <w:pPr>
        <w:spacing w:after="0" w:line="225" w:lineRule="exact"/>
        <w:rPr>
          <w:rFonts w:ascii="Arial" w:cs="Arial" w:eastAsia="Arial" w:hAnsi="Arial"/>
          <w:sz w:val="18"/>
          <w:szCs w:val="18"/>
          <w:color w:val="auto"/>
        </w:rPr>
      </w:pPr>
    </w:p>
    <w:p>
      <w:pPr>
        <w:ind w:left="680" w:hanging="345"/>
        <w:spacing w:after="0" w:line="297"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representations and warranties of the Buyer shall be true and correct as of the Commencement Date as though made at that time (except for representations and warranties that speak as of a specific date, which shall be true and correct in all material respects as of such specific date) and the Buyer shall have performed, satisfied and complied in all material respects with the covenants and agreements required by this Agreement to be performed, satisfied or complied with by the Buyer at or prior to the Commencement Date, and the Company shall have received a certificate, executed by a duly authorized officer of the Buyer, dated as of the Commencement Date, to the foregoing effect; and</w:t>
      </w:r>
    </w:p>
    <w:p>
      <w:pPr>
        <w:spacing w:after="0" w:line="158" w:lineRule="exact"/>
        <w:rPr>
          <w:rFonts w:ascii="Arial" w:cs="Arial" w:eastAsia="Arial" w:hAnsi="Arial"/>
          <w:sz w:val="16"/>
          <w:szCs w:val="16"/>
          <w:color w:val="auto"/>
        </w:rPr>
      </w:pPr>
    </w:p>
    <w:p>
      <w:pPr>
        <w:ind w:left="680" w:right="380" w:hanging="345"/>
        <w:spacing w:after="0" w:line="277" w:lineRule="auto"/>
        <w:tabs>
          <w:tab w:leader="none" w:pos="69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Prospectus Supplement shall have been delivered to the Buyer and no stop order with respect to the Existing Shelf Registration Statement covering the sale of shares to the Buyer shall be pending or threatened by the SEC.</w:t>
      </w:r>
    </w:p>
    <w:p>
      <w:pPr>
        <w:spacing w:after="0" w:line="166" w:lineRule="exact"/>
        <w:rPr>
          <w:sz w:val="20"/>
          <w:szCs w:val="20"/>
          <w:color w:val="auto"/>
        </w:rPr>
      </w:pPr>
    </w:p>
    <w:p>
      <w:pPr>
        <w:ind w:left="680" w:hanging="345"/>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BUYER’S OBLIGATION TO MAKE PURCHASES OF SHARES OF COMMON STOCK.</w:t>
      </w:r>
    </w:p>
    <w:p>
      <w:pPr>
        <w:spacing w:after="0" w:line="229"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obligation of the Buyer to buy Purchase Shares under this Agreement is subject to the satisfaction of each of the following conditions on or before the Commencement Date (the date that the Company may begin sales of Purchase Shares) and once such conditions have been initially satisfied:</w:t>
      </w:r>
    </w:p>
    <w:p>
      <w:pPr>
        <w:spacing w:after="0" w:line="124" w:lineRule="exact"/>
        <w:rPr>
          <w:sz w:val="20"/>
          <w:szCs w:val="20"/>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executed each of the Transaction Documents and delivered the same to the Buyer;</w:t>
      </w:r>
    </w:p>
    <w:p>
      <w:pPr>
        <w:spacing w:after="0" w:line="225" w:lineRule="exact"/>
        <w:rPr>
          <w:rFonts w:ascii="Arial" w:cs="Arial" w:eastAsia="Arial" w:hAnsi="Arial"/>
          <w:sz w:val="18"/>
          <w:szCs w:val="18"/>
          <w:color w:val="auto"/>
        </w:rPr>
      </w:pPr>
    </w:p>
    <w:p>
      <w:pPr>
        <w:ind w:left="740" w:hanging="301"/>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439"/>
        <w:spacing w:after="0" w:line="286" w:lineRule="auto"/>
        <w:tabs>
          <w:tab w:leader="none" w:pos="735"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Common Stock shall be authorized for quotation on the Principal Market, trading in the Common Stock shall not have been within the last 365 days suspended by the SEC or the Principal Market, other than a general halt in trading in the Common Stock by the Principal Market under halt codes indicating pending or released material news, and the Securities shall be approved for listing upon the Principal Market;</w:t>
      </w:r>
    </w:p>
    <w:p>
      <w:pPr>
        <w:spacing w:after="0" w:line="165" w:lineRule="exact"/>
        <w:rPr>
          <w:rFonts w:ascii="Arial" w:cs="Arial" w:eastAsia="Arial" w:hAnsi="Arial"/>
          <w:sz w:val="17"/>
          <w:szCs w:val="17"/>
          <w:color w:val="auto"/>
        </w:rPr>
      </w:pPr>
    </w:p>
    <w:p>
      <w:pPr>
        <w:ind w:left="740" w:hanging="301"/>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439"/>
        <w:spacing w:after="0" w:line="291" w:lineRule="auto"/>
        <w:tabs>
          <w:tab w:leader="none" w:pos="749"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Company shall be true and correct in all material respects (except to the extent that any of such representations and warranties is already qualified as to materiality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above, in which case, such representations and warranties shall be true and correct without further qualification) as of the date of this Agreement and as of the Commencement Date as though made at that time (except for representations and warranties that speak as of a specific date, which shall be true and correct in all material respects as of such specific date) and the Company shall have performed, satisfied and complied in all material respects with the covenants, agreements and conditions required by the Transaction Documents to be performed, satisfied or complied with by the Company at or prior to the Commencement Date. The Buyer shall have received a certificate, executed by the CEO of the Company, dated as of the Commencement Date, to the foregoing effect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37" w:right="259" w:bottom="1440" w:gutter="0" w:footer="0" w:header="0"/>
        </w:sectPr>
      </w:pPr>
    </w:p>
    <w:bookmarkStart w:id="15" w:name="page16"/>
    <w:bookmarkEnd w:id="15"/>
    <w:p>
      <w:pPr>
        <w:ind w:right="160" w:firstLine="439"/>
        <w:spacing w:after="0" w:line="308" w:lineRule="auto"/>
        <w:tabs>
          <w:tab w:leader="none" w:pos="729"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The Board of Directors of the Company or a duly authorized committee thereof shall have adopted resolutions substantially in the form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xml:space="preserve"> which shall be in full force and effect without any amendment or supplement thereto as of the Commencement Date;</w:t>
      </w:r>
    </w:p>
    <w:p>
      <w:pPr>
        <w:spacing w:after="0" w:line="146" w:lineRule="exact"/>
        <w:rPr>
          <w:rFonts w:ascii="Arial" w:cs="Arial" w:eastAsia="Arial" w:hAnsi="Arial"/>
          <w:sz w:val="17"/>
          <w:szCs w:val="17"/>
          <w:color w:val="auto"/>
        </w:rPr>
      </w:pPr>
    </w:p>
    <w:p>
      <w:pPr>
        <w:ind w:left="740" w:hanging="301"/>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01"/>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00" w:firstLine="439"/>
        <w:spacing w:after="0" w:line="342" w:lineRule="auto"/>
        <w:tabs>
          <w:tab w:leader="none" w:pos="7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shall have delivered to the Buyer a certificate evidencing the incorporation and good standing of the Company in the State of Delaware issued by the Secretary of State of the State of Delaware as of a date within ten (10) Business Days of the Commencement Date;</w:t>
      </w:r>
    </w:p>
    <w:p>
      <w:pPr>
        <w:spacing w:after="0" w:line="123" w:lineRule="exact"/>
        <w:rPr>
          <w:rFonts w:ascii="Arial" w:cs="Arial" w:eastAsia="Arial" w:hAnsi="Arial"/>
          <w:sz w:val="16"/>
          <w:szCs w:val="16"/>
          <w:color w:val="auto"/>
        </w:rPr>
      </w:pPr>
    </w:p>
    <w:p>
      <w:pPr>
        <w:ind w:left="700" w:hanging="261"/>
        <w:spacing w:after="0"/>
        <w:tabs>
          <w:tab w:leader="none" w:pos="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hanging="301"/>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39"/>
        <w:spacing w:after="0" w:line="255" w:lineRule="auto"/>
        <w:tabs>
          <w:tab w:leader="none" w:pos="7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Existing Shelf Registration Statement shall have been declared effective under the 1933 Act by the SEC and no stop order with respect thereto shall be pending or threatened by the SEC. The Company shall have prepared and delivered to the Buyer a final and complete form of prospectus supplement, dated and current as of the Commencement Date, to be used in connection with any issuances of any Purchase Shares to the Buyer, and to be filed by the Company within two (2) Business Days after the Commencement Date pursuant to Rule 424(b). The Company shall have made all filings under all applicable federal and state securities laws necessary to consummate the issuance of the Purchase Shares pursuant to this Agreement and public resale of the same in compliance with such laws;</w:t>
      </w:r>
    </w:p>
    <w:p>
      <w:pPr>
        <w:spacing w:after="0" w:line="193" w:lineRule="exact"/>
        <w:rPr>
          <w:rFonts w:ascii="Arial" w:cs="Arial" w:eastAsia="Arial" w:hAnsi="Arial"/>
          <w:sz w:val="18"/>
          <w:szCs w:val="18"/>
          <w:color w:val="auto"/>
        </w:rPr>
      </w:pPr>
    </w:p>
    <w:p>
      <w:pPr>
        <w:ind w:left="800" w:hanging="361"/>
        <w:spacing w:after="0"/>
        <w:tabs>
          <w:tab w:leader="none" w:pos="8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 Event of Default has occurred and is continuing, or any event which, after notice and/or lapse of time, would become an Event of Default has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210" w:lineRule="exact"/>
        <w:rPr>
          <w:rFonts w:ascii="Arial" w:cs="Arial" w:eastAsia="Arial" w:hAnsi="Arial"/>
          <w:sz w:val="16"/>
          <w:szCs w:val="16"/>
          <w:color w:val="auto"/>
        </w:rPr>
      </w:pPr>
    </w:p>
    <w:p>
      <w:pPr>
        <w:ind w:right="100" w:firstLine="439"/>
        <w:spacing w:after="0" w:line="297" w:lineRule="auto"/>
        <w:tabs>
          <w:tab w:leader="none" w:pos="799" w:val="left"/>
        </w:tabs>
        <w:numPr>
          <w:ilvl w:val="1"/>
          <w:numId w:val="25"/>
        </w:numPr>
        <w:rPr>
          <w:rFonts w:ascii="Arial" w:cs="Arial" w:eastAsia="Arial" w:hAnsi="Arial"/>
          <w:sz w:val="16"/>
          <w:szCs w:val="16"/>
          <w:color w:val="auto"/>
        </w:rPr>
      </w:pPr>
      <w:r>
        <w:rPr>
          <w:rFonts w:ascii="Arial" w:cs="Arial" w:eastAsia="Arial" w:hAnsi="Arial"/>
          <w:sz w:val="16"/>
          <w:szCs w:val="16"/>
          <w:color w:val="auto"/>
        </w:rPr>
        <w:t>On or prior to the Commencement Date, the Company shall take all necessary action, if any, and such actions as reasonably requested by the Buyer, in order to render inapplicable any control share acquisition, business combination, stockholder rights plan or poison pill (including any distribution under a rights agreement) or other similar anti-takeover provision under the Certificate of Incorporation or the laws of the state of its incorporation, other than Section 203 of the Delaware General Corporation Law, that is or could become applicable to the Buyer as a result of the transactions contemplated by this Agreement, including, without limitation, the Company’s issuance of the Securities and the Buyer’s ownership of the Securities; and</w:t>
      </w:r>
    </w:p>
    <w:p>
      <w:pPr>
        <w:spacing w:after="0" w:line="158" w:lineRule="exact"/>
        <w:rPr>
          <w:rFonts w:ascii="Arial" w:cs="Arial" w:eastAsia="Arial" w:hAnsi="Arial"/>
          <w:sz w:val="16"/>
          <w:szCs w:val="16"/>
          <w:color w:val="auto"/>
        </w:rPr>
      </w:pPr>
    </w:p>
    <w:p>
      <w:pPr>
        <w:ind w:right="20" w:firstLine="439"/>
        <w:spacing w:after="0" w:line="277" w:lineRule="auto"/>
        <w:tabs>
          <w:tab w:leader="none" w:pos="732"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The Company shall have provided the Buyer with the information reasonably requested by the Buyer in connection with its due diligence requests made prior to, or in connection with, the Commencement, in accordance with the terms of </w:t>
      </w:r>
      <w:r>
        <w:rPr>
          <w:rFonts w:ascii="Arial" w:cs="Arial" w:eastAsia="Arial" w:hAnsi="Arial"/>
          <w:sz w:val="18"/>
          <w:szCs w:val="18"/>
          <w:u w:val="single" w:color="auto"/>
          <w:color w:val="auto"/>
        </w:rPr>
        <w:t>Section 4(f)</w:t>
      </w:r>
      <w:r>
        <w:rPr>
          <w:rFonts w:ascii="Arial" w:cs="Arial" w:eastAsia="Arial" w:hAnsi="Arial"/>
          <w:sz w:val="18"/>
          <w:szCs w:val="18"/>
          <w:color w:val="auto"/>
        </w:rPr>
        <w:t xml:space="preserve"> hereof.</w:t>
      </w:r>
    </w:p>
    <w:p>
      <w:pPr>
        <w:spacing w:after="0" w:line="166" w:lineRule="exact"/>
        <w:rPr>
          <w:rFonts w:ascii="Arial" w:cs="Arial" w:eastAsia="Arial" w:hAnsi="Arial"/>
          <w:sz w:val="18"/>
          <w:szCs w:val="18"/>
          <w:color w:val="auto"/>
        </w:rPr>
      </w:pPr>
    </w:p>
    <w:p>
      <w:pPr>
        <w:ind w:left="680" w:hanging="345"/>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In consideration of the Buyer’s execution and delivery of the Transaction Documents and acquiring the Securities hereunder and in addition to all of the Company’s other obligations under the Transaction Documents, the Company shall defend, protect, indemnify and hold harmless the Buyer and/or each of its affiliates, members, officers, directors, and employees,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w:t>
      </w:r>
    </w:p>
    <w:p>
      <w:pPr>
        <w:spacing w:after="0" w:line="16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41" w:right="27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Documents or any other certificate, instrument or document contemplated hereby or thereby, or (c) any cause of action, suit or claim brought or made against such Indemnitee and arising out of or resulting from the execution, delivery, performance or enforcement of the Transaction Documents or any other certificate, instrument or document contemplated hereby or thereby, other than with respect to Indemnified Liabilities which directly and primarily result from (A) a breach of any of the Buyer’s representations and warranties, covenants or agreements contained in this Agreement, or (B) the gross negligence, bad faith or willful misconduct of the Buyer or any other Indemnitee.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185" w:lineRule="exact"/>
        <w:rPr>
          <w:sz w:val="20"/>
          <w:szCs w:val="20"/>
          <w:color w:val="auto"/>
        </w:rPr>
      </w:pPr>
    </w:p>
    <w:p>
      <w:pPr>
        <w:ind w:left="680" w:hanging="345"/>
        <w:spacing w:after="0"/>
        <w:tabs>
          <w:tab w:leader="none" w:pos="6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Event of Default</w:t>
      </w:r>
      <w:r>
        <w:rPr>
          <w:rFonts w:ascii="Arial" w:cs="Arial" w:eastAsia="Arial" w:hAnsi="Arial"/>
          <w:sz w:val="18"/>
          <w:szCs w:val="18"/>
          <w:color w:val="auto"/>
        </w:rPr>
        <w:t>” shall be deemed to have occurred at any time as any of the following events occurs:</w:t>
      </w:r>
    </w:p>
    <w:p>
      <w:pPr>
        <w:spacing w:after="0" w:line="229" w:lineRule="exact"/>
        <w:rPr>
          <w:sz w:val="20"/>
          <w:szCs w:val="20"/>
          <w:color w:val="auto"/>
        </w:rPr>
      </w:pPr>
    </w:p>
    <w:p>
      <w:pPr>
        <w:ind w:right="60" w:firstLine="440"/>
        <w:spacing w:after="0" w:line="290" w:lineRule="auto"/>
        <w:tabs>
          <w:tab w:leader="none" w:pos="7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period in which the effectiveness of any registration statement is required to be maintained pursuant to the terms of the Agreement, the effectiveness of such registration statement lapses for any reason (including, without limitation, the issuance of a stop order) or is unavailable to the Company for sale of all of the Securities to the Buyer in accordance with the terms of the Agreement, and such lapse or unavailability continues for a period of ten (10) consecutive Business Days or for more than an aggregate of thirty (30) Business Days in any 365-day period, which is not in connection with a post- effective amendment to any such registration statement or the filing of a new registration statement; provided, however, that in connection with any post-effective amendment to such registration statement or filing of a new registration statement that is required to be declared effective by the SEC, such lapse or unavailability may continue for a period of no more than thirty (30) consecutive Business Days, which such period shall be extended for an additional thirty (30) Business Days if the Company receives a comment letter from the SEC in connection therewith;</w:t>
      </w:r>
    </w:p>
    <w:p>
      <w:pPr>
        <w:spacing w:after="0" w:line="166" w:lineRule="exact"/>
        <w:rPr>
          <w:rFonts w:ascii="Arial" w:cs="Arial" w:eastAsia="Arial" w:hAnsi="Arial"/>
          <w:sz w:val="16"/>
          <w:szCs w:val="16"/>
          <w:color w:val="auto"/>
        </w:rPr>
      </w:pPr>
    </w:p>
    <w:p>
      <w:pPr>
        <w:ind w:left="740" w:hanging="300"/>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suspension from trading or failure of the Common Stock to be listed on a Principal Market for a period of three (3) consecutive Business Days;</w:t>
      </w:r>
    </w:p>
    <w:p>
      <w:pPr>
        <w:spacing w:after="0" w:line="248" w:lineRule="exact"/>
        <w:rPr>
          <w:rFonts w:ascii="Arial" w:cs="Arial" w:eastAsia="Arial" w:hAnsi="Arial"/>
          <w:sz w:val="16"/>
          <w:szCs w:val="16"/>
          <w:color w:val="auto"/>
        </w:rPr>
      </w:pPr>
    </w:p>
    <w:p>
      <w:pPr>
        <w:ind w:right="100" w:firstLine="440"/>
        <w:spacing w:after="0" w:line="264" w:lineRule="auto"/>
        <w:tabs>
          <w:tab w:leader="none" w:pos="7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delisting of the Common Stock from the Principal Market, and the Common Stock is not immediately thereafter trading on the New York Stock Exchange, the NYSE American, the NASDAQ Global Select Market, the NASDAQ Global Market, the NASDAQ Capital Market, the OTC Bulletin Board or the OTCQB marketplace or OTCQX marketplace of the OTC Markets Group;</w:t>
      </w:r>
    </w:p>
    <w:p>
      <w:pPr>
        <w:spacing w:after="0" w:line="181" w:lineRule="exact"/>
        <w:rPr>
          <w:rFonts w:ascii="Arial" w:cs="Arial" w:eastAsia="Arial" w:hAnsi="Arial"/>
          <w:sz w:val="18"/>
          <w:szCs w:val="18"/>
          <w:color w:val="auto"/>
        </w:rPr>
      </w:pPr>
    </w:p>
    <w:p>
      <w:pPr>
        <w:ind w:right="220" w:firstLine="440"/>
        <w:spacing w:after="0" w:line="277" w:lineRule="auto"/>
        <w:tabs>
          <w:tab w:leader="none" w:pos="7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for any reason by the Transfer Agent to issue Purchase Shares to the Buyer within one (1) Business Day after the applicable Purchase Notice is given to Buyer;</w:t>
      </w:r>
    </w:p>
    <w:p>
      <w:pPr>
        <w:spacing w:after="0" w:line="170" w:lineRule="exact"/>
        <w:rPr>
          <w:rFonts w:ascii="Arial" w:cs="Arial" w:eastAsia="Arial" w:hAnsi="Arial"/>
          <w:sz w:val="18"/>
          <w:szCs w:val="18"/>
          <w:color w:val="auto"/>
        </w:rPr>
      </w:pPr>
    </w:p>
    <w:p>
      <w:pPr>
        <w:ind w:left="720" w:hanging="280"/>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by the Company to file the New Registration Statement within (5) Business Days after the Commencement Date;</w:t>
      </w:r>
    </w:p>
    <w:p>
      <w:pPr>
        <w:spacing w:after="0" w:line="225" w:lineRule="exact"/>
        <w:rPr>
          <w:rFonts w:ascii="Arial" w:cs="Arial" w:eastAsia="Arial" w:hAnsi="Arial"/>
          <w:sz w:val="18"/>
          <w:szCs w:val="18"/>
          <w:color w:val="auto"/>
        </w:rPr>
      </w:pPr>
    </w:p>
    <w:p>
      <w:pPr>
        <w:ind w:left="700" w:hanging="260"/>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New Registration Statement to be declared effective within 75 days of the date of filing;</w:t>
      </w:r>
    </w:p>
    <w:p>
      <w:pPr>
        <w:spacing w:after="0" w:line="225" w:lineRule="exact"/>
        <w:rPr>
          <w:rFonts w:ascii="Arial" w:cs="Arial" w:eastAsia="Arial" w:hAnsi="Arial"/>
          <w:sz w:val="18"/>
          <w:szCs w:val="18"/>
          <w:color w:val="auto"/>
        </w:rPr>
      </w:pPr>
    </w:p>
    <w:p>
      <w:pPr>
        <w:jc w:val="both"/>
        <w:ind w:right="600" w:firstLine="440"/>
        <w:spacing w:after="0" w:line="286" w:lineRule="auto"/>
        <w:tabs>
          <w:tab w:leader="none" w:pos="7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Company’s breach of any representation or warranty (as of the dates made), covenant or other term or condition under any Transaction Document if such breach would reasonably be expected to have a Material Adverse Effect and except, in the case of a breach of a covenant which is reasonably curable, only if such breach continues uncured for a period of at least five (5) Business Days;</w:t>
      </w:r>
    </w:p>
    <w:p>
      <w:pPr>
        <w:spacing w:after="0" w:line="165" w:lineRule="exact"/>
        <w:rPr>
          <w:rFonts w:ascii="Arial" w:cs="Arial" w:eastAsia="Arial" w:hAnsi="Arial"/>
          <w:sz w:val="17"/>
          <w:szCs w:val="17"/>
          <w:color w:val="auto"/>
        </w:rPr>
      </w:pPr>
    </w:p>
    <w:p>
      <w:pPr>
        <w:ind w:left="700" w:hanging="260"/>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Person commences a proceeding against the Company pursuant to or within the meaning of any Bankruptcy Law;</w:t>
      </w:r>
    </w:p>
    <w:p>
      <w:pPr>
        <w:spacing w:after="0" w:line="225" w:lineRule="exact"/>
        <w:rPr>
          <w:rFonts w:ascii="Arial" w:cs="Arial" w:eastAsia="Arial" w:hAnsi="Arial"/>
          <w:sz w:val="18"/>
          <w:szCs w:val="18"/>
          <w:color w:val="auto"/>
        </w:rPr>
      </w:pPr>
    </w:p>
    <w:p>
      <w:pPr>
        <w:ind w:right="60" w:firstLine="440"/>
        <w:spacing w:after="0" w:line="264" w:lineRule="auto"/>
        <w:tabs>
          <w:tab w:leader="none" w:pos="7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pursuant to or within the meaning of any Bankruptcy Law; (A) commences a voluntary case, (B) consents to the entry of an order for relief against it in an involuntary case, (C) consents to the appointment of a Custodian of it or for all or substantially all of its property, (D) makes a general assignment for the benefit of its creditors or (E) becomes insolvent;</w:t>
      </w:r>
    </w:p>
    <w:p>
      <w:pPr>
        <w:spacing w:after="0" w:line="181" w:lineRule="exact"/>
        <w:rPr>
          <w:rFonts w:ascii="Arial" w:cs="Arial" w:eastAsia="Arial" w:hAnsi="Arial"/>
          <w:sz w:val="18"/>
          <w:szCs w:val="18"/>
          <w:color w:val="auto"/>
        </w:rPr>
      </w:pPr>
    </w:p>
    <w:p>
      <w:pPr>
        <w:jc w:val="both"/>
        <w:ind w:right="120" w:firstLine="439"/>
        <w:spacing w:after="0" w:line="264" w:lineRule="auto"/>
        <w:tabs>
          <w:tab w:leader="none" w:pos="7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the Company in an involuntary case, (B) appoints a Custodian of the Company or for all or substantially all of its property, or (C) orders the liquidation of the Company or any Subsidiary; or</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17" w:name="page18"/>
    <w:bookmarkEnd w:id="17"/>
    <w:p>
      <w:pPr>
        <w:ind w:right="440" w:firstLine="439"/>
        <w:spacing w:after="0" w:line="279" w:lineRule="auto"/>
        <w:tabs>
          <w:tab w:leader="none" w:pos="70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if at any time after the Commencement Date, the Exchange Cap is reached unless and until stockholder approval is obtained pursuant to </w:t>
      </w:r>
      <w:r>
        <w:rPr>
          <w:rFonts w:ascii="Arial" w:cs="Arial" w:eastAsia="Arial" w:hAnsi="Arial"/>
          <w:sz w:val="17"/>
          <w:szCs w:val="17"/>
          <w:u w:val="single" w:color="auto"/>
          <w:color w:val="auto"/>
        </w:rPr>
        <w:t>Section 1(h)</w:t>
      </w:r>
      <w:r>
        <w:rPr>
          <w:rFonts w:ascii="Arial" w:cs="Arial" w:eastAsia="Arial" w:hAnsi="Arial"/>
          <w:sz w:val="17"/>
          <w:szCs w:val="17"/>
          <w:color w:val="auto"/>
        </w:rPr>
        <w:t xml:space="preserve"> hereof. The Exchange Cap shall be deemed to be reached at such time if, upon submission of a Purchase Notice under this Agreement, the issuance of such shares of Common Stock would exceed the number of shares of Common Stock which the Company may issue under this Agreement without breaching the Company’s obligations under the rules or regulations of the Principal Market.</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addition to any other rights and remedies under applicable law and this Agreement, including the Buyer termination rights under </w:t>
      </w:r>
      <w:r>
        <w:rPr>
          <w:rFonts w:ascii="Arial" w:cs="Arial" w:eastAsia="Arial" w:hAnsi="Arial"/>
          <w:sz w:val="16"/>
          <w:szCs w:val="16"/>
          <w:u w:val="single" w:color="auto"/>
          <w:color w:val="auto"/>
        </w:rPr>
        <w:t>Section 11(k)</w:t>
      </w:r>
      <w:r>
        <w:rPr>
          <w:rFonts w:ascii="Arial" w:cs="Arial" w:eastAsia="Arial" w:hAnsi="Arial"/>
          <w:sz w:val="16"/>
          <w:szCs w:val="16"/>
          <w:color w:val="auto"/>
        </w:rPr>
        <w:t xml:space="preserve"> hereof, so long as an Event of Default has occurred and is continuing, or if any event which, after notice and/or lapse of time, would become an Event of Default, has occurred and is continuing, the Company may not request the Buyer to purchase any shares of Common Stock under this Agreement.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Arial" w:cs="Arial" w:eastAsia="Arial" w:hAnsi="Arial"/>
          <w:sz w:val="16"/>
          <w:szCs w:val="16"/>
          <w:u w:val="single" w:color="auto"/>
          <w:color w:val="auto"/>
        </w:rPr>
        <w:t>Sections 9(f)</w:t>
      </w:r>
      <w:r>
        <w:rPr>
          <w:rFonts w:ascii="Arial" w:cs="Arial" w:eastAsia="Arial" w:hAnsi="Arial"/>
          <w:sz w:val="16"/>
          <w:szCs w:val="16"/>
          <w:color w:val="auto"/>
        </w:rPr>
        <w:t xml:space="preserve">, </w:t>
      </w:r>
      <w:r>
        <w:rPr>
          <w:rFonts w:ascii="Arial" w:cs="Arial" w:eastAsia="Arial" w:hAnsi="Arial"/>
          <w:sz w:val="16"/>
          <w:szCs w:val="16"/>
          <w:u w:val="single" w:color="auto"/>
          <w:color w:val="auto"/>
        </w:rPr>
        <w:t>9(g)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9(h)</w:t>
      </w:r>
      <w:r>
        <w:rPr>
          <w:rFonts w:ascii="Arial" w:cs="Arial" w:eastAsia="Arial" w:hAnsi="Arial"/>
          <w:sz w:val="16"/>
          <w:szCs w:val="16"/>
          <w:color w:val="auto"/>
        </w:rPr>
        <w:t xml:space="preserve"> hereof) this Agreement shall automatically terminate without any liability or payment to the Company without further action or notice by any Person. No such termination of this Agreement under </w:t>
      </w:r>
      <w:r>
        <w:rPr>
          <w:rFonts w:ascii="Arial" w:cs="Arial" w:eastAsia="Arial" w:hAnsi="Arial"/>
          <w:sz w:val="16"/>
          <w:szCs w:val="16"/>
          <w:u w:val="single" w:color="auto"/>
          <w:color w:val="auto"/>
        </w:rPr>
        <w:t>Section 11(k)(i)</w:t>
      </w:r>
      <w:r>
        <w:rPr>
          <w:rFonts w:ascii="Arial" w:cs="Arial" w:eastAsia="Arial" w:hAnsi="Arial"/>
          <w:sz w:val="16"/>
          <w:szCs w:val="16"/>
          <w:color w:val="auto"/>
        </w:rPr>
        <w:t xml:space="preserve"> shall affect the Company’s or the Buyer’s obligations under this Agreement with respect to pending purchases and the Company and the Buyer shall complete their respective obligations with respect to any pending purchases under this Agreement.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CERTAIN DEFINED TERMS.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Agreement, the following terms shall have the following meanings:</w:t>
      </w:r>
    </w:p>
    <w:p>
      <w:pPr>
        <w:spacing w:after="0" w:line="221" w:lineRule="exact"/>
        <w:rPr>
          <w:sz w:val="20"/>
          <w:szCs w:val="20"/>
          <w:color w:val="auto"/>
        </w:rPr>
      </w:pPr>
    </w:p>
    <w:p>
      <w:pPr>
        <w:ind w:left="700" w:hanging="261"/>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9" w:lineRule="exact"/>
        <w:rPr>
          <w:rFonts w:ascii="Arial" w:cs="Arial" w:eastAsia="Arial" w:hAnsi="Arial"/>
          <w:sz w:val="18"/>
          <w:szCs w:val="18"/>
          <w:color w:val="auto"/>
        </w:rPr>
      </w:pPr>
    </w:p>
    <w:p>
      <w:pPr>
        <w:ind w:left="720" w:hanging="28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720" w:hanging="28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rFonts w:ascii="Arial" w:cs="Arial" w:eastAsia="Arial" w:hAnsi="Arial"/>
          <w:sz w:val="18"/>
          <w:szCs w:val="18"/>
          <w:color w:val="auto"/>
        </w:rPr>
      </w:pPr>
    </w:p>
    <w:p>
      <w:pPr>
        <w:ind w:right="60" w:firstLine="439"/>
        <w:spacing w:after="0" w:line="282" w:lineRule="auto"/>
        <w:tabs>
          <w:tab w:leader="none" w:pos="7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on which the Principal Market is open for trading during normal trading hours (i.e., 9:30 a.m. to 4:00 p.m. Eastern Time), including any day on which the Principal Market is open for trading for a period of time less than the customary time.</w:t>
      </w:r>
    </w:p>
    <w:p>
      <w:pPr>
        <w:spacing w:after="0" w:line="165" w:lineRule="exact"/>
        <w:rPr>
          <w:rFonts w:ascii="Arial" w:cs="Arial" w:eastAsia="Arial" w:hAnsi="Arial"/>
          <w:sz w:val="18"/>
          <w:szCs w:val="18"/>
          <w:color w:val="auto"/>
        </w:rPr>
      </w:pPr>
    </w:p>
    <w:p>
      <w:pPr>
        <w:ind w:left="720" w:hanging="28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439"/>
        <w:spacing w:after="0" w:line="287" w:lineRule="auto"/>
        <w:tabs>
          <w:tab w:leader="none" w:pos="688"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any information disclosed by either party to the other party, either directly or indirectly, in writing, orally or by inspection of tangible objects (including, without limitation, documents, prototypes, samples, protocols, development plans, commercialization plans, compounds, formulations, preclinical study and clinical trial results, plant and equipment), which is designated as “Confidential,” “Proprietary” or some similar designation. Information communicated orally shall be considered Confidential Information if such information is expressly identified as Confidential Information at the time of such initial disclosure and confirmed in writing as being Confidential Information within ten (10) Business Days after the initial disclosure. Confidential Information may also include information disclosed to a disclosing party by third parties. Confidential Information shall not, however, include any information which (i) was publicly known and made generally available in the public domain prior to the time of disclosure by the disclosing party; (ii) becomes publicly known and made generally available after disclosure by the disclosing party to the receiving party through no action or inaction of the receiving party; (iii) is already in the possession of the receiving party at the time of disclosure by the disclosing party as shown by the receiving party’s files and records immediately prior to the time of disclosure; (iv) is obtained by the receiving party from a third party without a breach of such third party’s obligations of confidentiality; (v) is independently developed by the receiving party without use of or reference to the disclosing party’s Confidential Information, as shown by documents and other competent evidence in the receiving party’s possession; or (vi) is required</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18" w:name="page19"/>
    <w:bookmarkEnd w:id="18"/>
    <w:p>
      <w:pPr>
        <w:ind w:right="120"/>
        <w:spacing w:after="0" w:line="277" w:lineRule="auto"/>
        <w:rPr>
          <w:sz w:val="20"/>
          <w:szCs w:val="20"/>
          <w:color w:val="auto"/>
        </w:rPr>
      </w:pPr>
      <w:r>
        <w:rPr>
          <w:rFonts w:ascii="Arial" w:cs="Arial" w:eastAsia="Arial" w:hAnsi="Arial"/>
          <w:sz w:val="18"/>
          <w:szCs w:val="18"/>
          <w:color w:val="auto"/>
        </w:rPr>
        <w:t>by law to be disclosed by the receiving party, provided that the receiving party gives the disclosing party prompt written notice of such requirement prior to such disclosure and assistance in obtaining an order protecting the information from public disclosure.</w:t>
      </w:r>
    </w:p>
    <w:p>
      <w:pPr>
        <w:spacing w:after="0" w:line="166" w:lineRule="exact"/>
        <w:rPr>
          <w:sz w:val="20"/>
          <w:szCs w:val="20"/>
          <w:color w:val="auto"/>
        </w:rPr>
      </w:pPr>
    </w:p>
    <w:p>
      <w:pPr>
        <w:ind w:left="780" w:hanging="341"/>
        <w:spacing w:after="0"/>
        <w:tabs>
          <w:tab w:leader="none" w:pos="7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rFonts w:ascii="Arial" w:cs="Arial" w:eastAsia="Arial" w:hAnsi="Arial"/>
          <w:sz w:val="18"/>
          <w:szCs w:val="18"/>
          <w:color w:val="auto"/>
        </w:rPr>
      </w:pPr>
    </w:p>
    <w:p>
      <w:pPr>
        <w:ind w:right="820" w:firstLine="439"/>
        <w:spacing w:after="0" w:line="347" w:lineRule="auto"/>
        <w:tabs>
          <w:tab w:leader="none" w:pos="718" w:val="left"/>
        </w:tabs>
        <w:numPr>
          <w:ilvl w:val="2"/>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Minimum Price</w:t>
      </w:r>
      <w:r>
        <w:rPr>
          <w:rFonts w:ascii="Arial" w:cs="Arial" w:eastAsia="Arial" w:hAnsi="Arial"/>
          <w:sz w:val="16"/>
          <w:szCs w:val="16"/>
          <w:color w:val="auto"/>
        </w:rPr>
        <w:t>” shall mean $1.00 (provided that the Buyer may waive the Minimum Price for a specific Purchase Notice), subject to appropriate adjustment for any reorganization, recapitalization, non-cash dividend, stock split, reverse stock split or other similar transaction.</w:t>
      </w:r>
    </w:p>
    <w:p>
      <w:pPr>
        <w:spacing w:after="0" w:line="116" w:lineRule="exact"/>
        <w:rPr>
          <w:rFonts w:ascii="Arial" w:cs="Arial" w:eastAsia="Arial" w:hAnsi="Arial"/>
          <w:sz w:val="16"/>
          <w:szCs w:val="16"/>
          <w:color w:val="auto"/>
        </w:rPr>
      </w:pPr>
    </w:p>
    <w:p>
      <w:pPr>
        <w:ind w:right="900" w:firstLine="439"/>
        <w:spacing w:after="0" w:line="282" w:lineRule="auto"/>
        <w:tabs>
          <w:tab w:leader="none" w:pos="705"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entity including any limited liability company, a partnership, a joint venture, a corporation, a trust, an unincorporated organization and a government or any department or agency thereof.</w:t>
      </w:r>
    </w:p>
    <w:p>
      <w:pPr>
        <w:spacing w:after="0" w:line="161" w:lineRule="exact"/>
        <w:rPr>
          <w:rFonts w:ascii="Arial" w:cs="Arial" w:eastAsia="Arial" w:hAnsi="Arial"/>
          <w:sz w:val="18"/>
          <w:szCs w:val="18"/>
          <w:color w:val="auto"/>
        </w:rPr>
      </w:pPr>
    </w:p>
    <w:p>
      <w:pPr>
        <w:jc w:val="both"/>
        <w:ind w:right="40" w:firstLine="439"/>
        <w:spacing w:after="0" w:line="281" w:lineRule="auto"/>
        <w:tabs>
          <w:tab w:leader="none" w:pos="692" w:val="left"/>
        </w:tabs>
        <w:numPr>
          <w:ilvl w:val="2"/>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Nasdaq Capital Market; provided however, that in the event the Company’s Common Stock is ever listed or traded on the New York Stock Exchange, the NYSE American, the NASDAQ Global Select Market, the Nasdaq Global Market, the NASDAQ Capital Market, the OTC Bulletin Board or either of the OTCQB Marketplace or the OTCQX marketplace of the OTC Markets Group, then the “Principal Market” shall mean such other market or exchange on which the Company’s Common Stock is then listed or traded.</w:t>
      </w:r>
    </w:p>
    <w:p>
      <w:pPr>
        <w:spacing w:after="0" w:line="168" w:lineRule="exact"/>
        <w:rPr>
          <w:rFonts w:ascii="Arial" w:cs="Arial" w:eastAsia="Arial" w:hAnsi="Arial"/>
          <w:sz w:val="17"/>
          <w:szCs w:val="17"/>
          <w:color w:val="auto"/>
        </w:rPr>
      </w:pPr>
    </w:p>
    <w:p>
      <w:pPr>
        <w:ind w:left="740" w:hanging="301"/>
        <w:spacing w:after="0"/>
        <w:tabs>
          <w:tab w:leader="none" w:pos="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439"/>
        <w:spacing w:after="0" w:line="282" w:lineRule="auto"/>
        <w:tabs>
          <w:tab w:leader="none" w:pos="692"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Date</w:t>
      </w:r>
      <w:r>
        <w:rPr>
          <w:rFonts w:ascii="Arial" w:cs="Arial" w:eastAsia="Arial" w:hAnsi="Arial"/>
          <w:sz w:val="18"/>
          <w:szCs w:val="18"/>
          <w:color w:val="auto"/>
        </w:rPr>
        <w:t>” means with respect to any Regular Purchase made hereunder, the Business Day that the respective portion of the Purchase Shares are reflected in the Buyer’s account.</w:t>
      </w:r>
    </w:p>
    <w:p>
      <w:pPr>
        <w:spacing w:after="0" w:line="161" w:lineRule="exact"/>
        <w:rPr>
          <w:rFonts w:ascii="Arial" w:cs="Arial" w:eastAsia="Arial" w:hAnsi="Arial"/>
          <w:sz w:val="18"/>
          <w:szCs w:val="18"/>
          <w:color w:val="auto"/>
        </w:rPr>
      </w:pPr>
    </w:p>
    <w:p>
      <w:pPr>
        <w:ind w:right="600" w:firstLine="439"/>
        <w:spacing w:after="0" w:line="313" w:lineRule="auto"/>
        <w:tabs>
          <w:tab w:leader="none" w:pos="795" w:val="left"/>
        </w:tabs>
        <w:numPr>
          <w:ilvl w:val="2"/>
          <w:numId w:val="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Notice</w:t>
      </w:r>
      <w:r>
        <w:rPr>
          <w:rFonts w:ascii="Arial" w:cs="Arial" w:eastAsia="Arial" w:hAnsi="Arial"/>
          <w:sz w:val="17"/>
          <w:szCs w:val="17"/>
          <w:color w:val="auto"/>
        </w:rPr>
        <w:t xml:space="preserve">” shall mean an irrevocable written notice from the Company to the Buyer requesting the Buyer to buy Purchase Shares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hereof as specified by the Company therein at the applicable Purchase Price on the Purchase Date.</w:t>
      </w:r>
    </w:p>
    <w:p>
      <w:pPr>
        <w:spacing w:after="0" w:line="138" w:lineRule="exact"/>
        <w:rPr>
          <w:rFonts w:ascii="Arial" w:cs="Arial" w:eastAsia="Arial" w:hAnsi="Arial"/>
          <w:sz w:val="17"/>
          <w:szCs w:val="17"/>
          <w:color w:val="auto"/>
        </w:rPr>
      </w:pPr>
    </w:p>
    <w:p>
      <w:pPr>
        <w:ind w:right="140" w:firstLine="439"/>
        <w:spacing w:after="0" w:line="266" w:lineRule="auto"/>
        <w:tabs>
          <w:tab w:leader="none" w:pos="745"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means $0.75 per share of Common Stock, or such other price agreed upon between the Company and Buyer for the respective Purchase Notice, subject to the terms of this Agreement and subject to appropriate adjustment for any reorganization, recapitalization, non-cash dividend, stock split, reverse stock split or other similar transaction.</w:t>
      </w:r>
    </w:p>
    <w:p>
      <w:pPr>
        <w:spacing w:after="0" w:line="180" w:lineRule="exact"/>
        <w:rPr>
          <w:rFonts w:ascii="Arial" w:cs="Arial" w:eastAsia="Arial" w:hAnsi="Arial"/>
          <w:sz w:val="18"/>
          <w:szCs w:val="18"/>
          <w:color w:val="auto"/>
        </w:rPr>
      </w:pPr>
    </w:p>
    <w:p>
      <w:pPr>
        <w:ind w:left="740" w:hanging="301"/>
        <w:spacing w:after="0"/>
        <w:tabs>
          <w:tab w:leader="none" w:pos="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ind w:left="740" w:hanging="301"/>
        <w:spacing w:after="0"/>
        <w:tabs>
          <w:tab w:leader="none" w:pos="740"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rFonts w:ascii="Arial" w:cs="Arial" w:eastAsia="Arial" w:hAnsi="Arial"/>
          <w:sz w:val="18"/>
          <w:szCs w:val="18"/>
          <w:color w:val="auto"/>
        </w:rPr>
      </w:pPr>
    </w:p>
    <w:p>
      <w:pPr>
        <w:ind w:right="360" w:firstLine="439"/>
        <w:spacing w:after="0" w:line="282" w:lineRule="auto"/>
        <w:tabs>
          <w:tab w:leader="none" w:pos="732" w:val="left"/>
        </w:tabs>
        <w:numPr>
          <w:ilvl w:val="2"/>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means the transfer agent of the Company or such other person who is then serving as the transfer agent for the Company in respect of the Common Stock.</w:t>
      </w:r>
    </w:p>
    <w:p>
      <w:pPr>
        <w:spacing w:after="0" w:line="161" w:lineRule="exact"/>
        <w:rPr>
          <w:rFonts w:ascii="Arial" w:cs="Arial" w:eastAsia="Arial" w:hAnsi="Arial"/>
          <w:sz w:val="18"/>
          <w:szCs w:val="18"/>
          <w:color w:val="auto"/>
        </w:rPr>
      </w:pPr>
    </w:p>
    <w:p>
      <w:pPr>
        <w:ind w:left="660" w:hanging="325"/>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right="320" w:firstLine="394"/>
        <w:spacing w:after="0" w:line="277" w:lineRule="auto"/>
        <w:tabs>
          <w:tab w:leader="none" w:pos="71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State of Kansas without regard to the principles of conflicts of law (whether of the State of Kansas or any other jurisdiction).</w:t>
      </w:r>
    </w:p>
    <w:p>
      <w:pPr>
        <w:spacing w:after="0" w:line="170" w:lineRule="exact"/>
        <w:rPr>
          <w:rFonts w:ascii="Arial" w:cs="Arial" w:eastAsia="Arial" w:hAnsi="Arial"/>
          <w:sz w:val="18"/>
          <w:szCs w:val="18"/>
          <w:color w:val="auto"/>
        </w:rPr>
      </w:pPr>
    </w:p>
    <w:p>
      <w:pPr>
        <w:ind w:right="100" w:firstLine="394"/>
        <w:spacing w:after="0" w:line="255" w:lineRule="auto"/>
        <w:tabs>
          <w:tab w:leader="none" w:pos="727"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Any disputes, claims, or controversies arising out of or relating to this Agreement, or the transactions, contemplated thereby, or the breach, termination, enforcement, interpretation or validity thereof, including the determination of the scope or applicability of this Agreement to arbitrate, shall be referred to and resolved solely and exclusively by binding arbitration to be conducted before the Judicial Arbitration and Mediation Service (“</w:t>
      </w:r>
      <w:r>
        <w:rPr>
          <w:rFonts w:ascii="Arial" w:cs="Arial" w:eastAsia="Arial" w:hAnsi="Arial"/>
          <w:sz w:val="18"/>
          <w:szCs w:val="18"/>
          <w:b w:val="1"/>
          <w:bCs w:val="1"/>
          <w:color w:val="auto"/>
        </w:rPr>
        <w:t>JAMS</w:t>
      </w:r>
      <w:r>
        <w:rPr>
          <w:rFonts w:ascii="Arial" w:cs="Arial" w:eastAsia="Arial" w:hAnsi="Arial"/>
          <w:sz w:val="18"/>
          <w:szCs w:val="18"/>
          <w:color w:val="auto"/>
        </w:rPr>
        <w:t>” ), or its successor pursuant the expedited procedures set forth in the JAMS Comprehensive Arbitration Rules and Procedures (the “</w:t>
      </w:r>
      <w:r>
        <w:rPr>
          <w:rFonts w:ascii="Arial" w:cs="Arial" w:eastAsia="Arial" w:hAnsi="Arial"/>
          <w:sz w:val="18"/>
          <w:szCs w:val="18"/>
          <w:b w:val="1"/>
          <w:bCs w:val="1"/>
          <w:color w:val="auto"/>
        </w:rPr>
        <w:t>Rules</w:t>
      </w:r>
      <w:r>
        <w:rPr>
          <w:rFonts w:ascii="Arial" w:cs="Arial" w:eastAsia="Arial" w:hAnsi="Arial"/>
          <w:sz w:val="18"/>
          <w:szCs w:val="18"/>
          <w:color w:val="auto"/>
        </w:rPr>
        <w:t>” ), including Rules 16.1 and 16.2 of those Rules. The arbitration shall be held in New York, New York, before a tribunal consisting of three (3) arbitrators each of whom will be selected in accordance with the “strike and rank” methodology set forth in Rule 15. Either party to this Agreement may, without waiving any remedy under this</w:t>
      </w:r>
    </w:p>
    <w:p>
      <w:pPr>
        <w:spacing w:after="0" w:line="18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19" w:name="page20"/>
    <w:bookmarkEnd w:id="19"/>
    <w:p>
      <w:pPr>
        <w:ind w:right="100"/>
        <w:spacing w:after="0" w:line="255" w:lineRule="auto"/>
        <w:rPr>
          <w:sz w:val="20"/>
          <w:szCs w:val="20"/>
          <w:color w:val="auto"/>
        </w:rPr>
      </w:pPr>
      <w:r>
        <w:rPr>
          <w:rFonts w:ascii="Arial" w:cs="Arial" w:eastAsia="Arial" w:hAnsi="Arial"/>
          <w:sz w:val="18"/>
          <w:szCs w:val="18"/>
          <w:color w:val="auto"/>
        </w:rPr>
        <w:t>Agreement, seek from any federal or state court sitting in the State of Kansas any interim or provisional relief that is necessary to protect the rights or property of that party, pending the establishment of the arbitral tribunal. The costs and expenses of such arbitration shall be paid by and be the sole responsibility of the Company, including but not limited to the Buyer’s attorneys’ fees and each arbitrator’s fees. The arbitrators’ decision must set forth a reasoned basis for any award of damages or finding of liability. The arbitrators’ decision and award will be made and delivered as soon as reasonably possibly and in any case within sixty (60) days’ following the conclusion of the arbitration hearing and shall be final and binding on the parties and may be entered by any court having jurisdiction thereof.</w:t>
      </w:r>
    </w:p>
    <w:p>
      <w:pPr>
        <w:spacing w:after="0" w:line="193" w:lineRule="exact"/>
        <w:rPr>
          <w:sz w:val="20"/>
          <w:szCs w:val="20"/>
          <w:color w:val="auto"/>
        </w:rPr>
      </w:pPr>
    </w:p>
    <w:p>
      <w:pPr>
        <w:ind w:right="100" w:firstLine="394"/>
        <w:spacing w:after="0" w:line="264" w:lineRule="auto"/>
        <w:tabs>
          <w:tab w:leader="none" w:pos="7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xml:space="preserve"> THE COMPANY AND THE BUYER HEREBY WAIVE A TRIAL BY JURY IN ANY ACTION, PROCEEDING OR COUNTERCLAIM BROUGHT BY EITHER OF THE PARTIES HERETO AGAINST THE OTHER IN RESPECT OF ANY MATTER ARISING OUT OF OR IN CONNECTION WITH THE TRANSACTION DOCUMENTS.</w:t>
      </w:r>
    </w:p>
    <w:p>
      <w:pPr>
        <w:spacing w:after="0" w:line="181" w:lineRule="exact"/>
        <w:rPr>
          <w:rFonts w:ascii="Arial" w:cs="Arial" w:eastAsia="Arial" w:hAnsi="Arial"/>
          <w:sz w:val="18"/>
          <w:szCs w:val="18"/>
          <w:color w:val="auto"/>
        </w:rPr>
      </w:pPr>
    </w:p>
    <w:p>
      <w:pPr>
        <w:ind w:right="60" w:firstLine="394"/>
        <w:spacing w:after="0" w:line="259" w:lineRule="auto"/>
        <w:tabs>
          <w:tab w:leader="none" w:pos="72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(or other electronic reproduction) signature shall be considered due execution and shall be binding upon the signatory thereto with the same force and effect as if the signature were an original, not a facsimile or .pdf (or other electronic reproduction) signature.</w:t>
      </w:r>
    </w:p>
    <w:p>
      <w:pPr>
        <w:spacing w:after="0" w:line="186" w:lineRule="exact"/>
        <w:rPr>
          <w:rFonts w:ascii="Arial" w:cs="Arial" w:eastAsia="Arial" w:hAnsi="Arial"/>
          <w:sz w:val="18"/>
          <w:szCs w:val="18"/>
          <w:color w:val="auto"/>
        </w:rPr>
      </w:pPr>
    </w:p>
    <w:p>
      <w:pPr>
        <w:ind w:right="720" w:firstLine="439"/>
        <w:spacing w:after="0" w:line="277" w:lineRule="auto"/>
        <w:tabs>
          <w:tab w:leader="none" w:pos="72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for convenience of reference and shall not form part of, or affect the interpretation of, this Agreement.</w:t>
      </w:r>
    </w:p>
    <w:p>
      <w:pPr>
        <w:spacing w:after="0" w:line="170" w:lineRule="exact"/>
        <w:rPr>
          <w:rFonts w:ascii="Arial" w:cs="Arial" w:eastAsia="Arial" w:hAnsi="Arial"/>
          <w:sz w:val="18"/>
          <w:szCs w:val="18"/>
          <w:color w:val="auto"/>
        </w:rPr>
      </w:pPr>
    </w:p>
    <w:p>
      <w:pPr>
        <w:ind w:right="120" w:firstLine="439"/>
        <w:spacing w:after="0" w:line="264" w:lineRule="auto"/>
        <w:tabs>
          <w:tab w:leader="none" w:pos="715"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such provision of this Agreement in any other jurisdiction.</w:t>
      </w:r>
    </w:p>
    <w:p>
      <w:pPr>
        <w:spacing w:after="0" w:line="181" w:lineRule="exact"/>
        <w:rPr>
          <w:rFonts w:ascii="Arial" w:cs="Arial" w:eastAsia="Arial" w:hAnsi="Arial"/>
          <w:sz w:val="18"/>
          <w:szCs w:val="18"/>
          <w:color w:val="auto"/>
        </w:rPr>
      </w:pPr>
    </w:p>
    <w:p>
      <w:pPr>
        <w:ind w:right="80" w:firstLine="439"/>
        <w:spacing w:after="0" w:line="255" w:lineRule="auto"/>
        <w:tabs>
          <w:tab w:leader="none" w:pos="732"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shall supersede all other prior oral or written agreements between the Buyer, the Company, their affiliates and Persons acting on their behalf with respect to the matters discussed herein, and this Agreement, the other Transaction Documents and the instruments referenced herein contain the entire understanding of the parties with respect to the matters covered herein and therein and, except as specifically set forth herein or therein, neither the Company nor the Buyer makes any representation, warranty, covenant or undertaking with respect to such matters. The Company acknowledges and agrees that is has not relied on, in any manner whatsoever, any representations or statements, written or oral, other than as expressly set forth in this Agreement.</w:t>
      </w:r>
    </w:p>
    <w:p>
      <w:pPr>
        <w:spacing w:after="0" w:line="193" w:lineRule="exact"/>
        <w:rPr>
          <w:rFonts w:ascii="Arial" w:cs="Arial" w:eastAsia="Arial" w:hAnsi="Arial"/>
          <w:sz w:val="18"/>
          <w:szCs w:val="18"/>
          <w:color w:val="auto"/>
        </w:rPr>
      </w:pPr>
    </w:p>
    <w:p>
      <w:pPr>
        <w:ind w:firstLine="439"/>
        <w:spacing w:after="0" w:line="255" w:lineRule="auto"/>
        <w:tabs>
          <w:tab w:leader="none" w:pos="691"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(iii) upon receipt, when sent by electronic message (provided the recipient responds to the message and confirmation of both electronic messages are kept on file by the sending party); or (iv) one (1) Business Day after timely deposit with a nationally recognized overnight delivery service, in each case properly addressed to the party to receive the same. The addresses and facsimile numbers for such communications shall be: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Jaguar Health, Inc.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201 Mission Street, Suite 2375</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lconte@jaguar.health</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41" w:right="279" w:bottom="1440" w:gutter="0" w:footer="0" w:header="0"/>
        </w:sectPr>
      </w:pPr>
    </w:p>
    <w:bookmarkStart w:id="20" w:name="page21"/>
    <w:bookmarkEnd w:id="20"/>
    <w:p>
      <w:pPr>
        <w:ind w:left="440"/>
        <w:spacing w:after="0"/>
        <w:rPr>
          <w:sz w:val="20"/>
          <w:szCs w:val="20"/>
          <w:color w:val="auto"/>
        </w:rPr>
      </w:pPr>
      <w:r>
        <w:rPr>
          <w:rFonts w:ascii="Arial" w:cs="Arial" w:eastAsia="Arial" w:hAnsi="Arial"/>
          <w:sz w:val="18"/>
          <w:szCs w:val="18"/>
          <w:color w:val="auto"/>
        </w:rPr>
        <w:t>With a copy to (which shall not constitute delivery to the Company):</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Reed Smith LLP</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1510 Page Mill Road, Suite 110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Telephone: 650-352-0532</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Attention: Donald Reinke, Esq.</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DReinke@reedsmith.com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Buyer: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Oasis Capital,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208 Ponce de Leon Ave., Suite 1600</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San Juan, PR 00918</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Email: adam@oasis-capoasiscapital.com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Attention: Adam Long</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(which shall not constitute delivery to the Buyer):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K&amp;L Gates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 S. Biscayne Blvd., Suite 3900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Miami, FL 33131</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E-mail: john.owens@klgates.com</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Attention: John D. Owens, III, Esq.</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at such other address and/or facsimile number and/or to the attention of such other person as the recipient party has specified by written notice given to each other party at least one (1) Business Day prior to the effectiveness of such change. Written confirmation of receipt (A) given by the recipient of such notice, consent or other communication, (B) mechanically or electronically generated by the sender’s facsimile machine containing the time, date, and recipient facsimile number, (C) electronically generated by the sender’s electronic mail containing the time, date and recipient email address or (D) provided by a nationally recognized overnight delivery service, shall be rebuttable evidence of receipt in accordance with clause (i), (ii), (iii) or (iv) above, respectively.</w:t>
      </w:r>
    </w:p>
    <w:p>
      <w:pPr>
        <w:spacing w:after="0" w:line="193" w:lineRule="exact"/>
        <w:rPr>
          <w:sz w:val="20"/>
          <w:szCs w:val="20"/>
          <w:color w:val="auto"/>
        </w:rPr>
      </w:pPr>
    </w:p>
    <w:p>
      <w:pPr>
        <w:ind w:right="60" w:firstLine="439"/>
        <w:spacing w:after="0" w:line="257" w:lineRule="auto"/>
        <w:tabs>
          <w:tab w:leader="none" w:pos="7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assigns. The Company shall not assign this Agreement or any rights or obligations hereunder without the prior written consent of the Buyer, including by merger or consolidation; provided, however, that any transaction, whether by merger, reorganization, restructuring, consolidation, financing or otherwise, whereby the Company remains the surviving entity immediately after such transaction, shall not be deemed a succession or assignment. The Buyer may not assign its rights or obligations under this Agreement.</w:t>
      </w:r>
    </w:p>
    <w:p>
      <w:pPr>
        <w:spacing w:after="0" w:line="188" w:lineRule="exact"/>
        <w:rPr>
          <w:rFonts w:ascii="Arial" w:cs="Arial" w:eastAsia="Arial" w:hAnsi="Arial"/>
          <w:sz w:val="18"/>
          <w:szCs w:val="18"/>
          <w:color w:val="auto"/>
        </w:rPr>
      </w:pPr>
    </w:p>
    <w:p>
      <w:pPr>
        <w:ind w:right="560" w:firstLine="439"/>
        <w:spacing w:after="0" w:line="277" w:lineRule="auto"/>
        <w:tabs>
          <w:tab w:leader="none" w:pos="71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70" w:lineRule="exact"/>
        <w:rPr>
          <w:rFonts w:ascii="Arial" w:cs="Arial" w:eastAsia="Arial" w:hAnsi="Arial"/>
          <w:sz w:val="18"/>
          <w:szCs w:val="18"/>
          <w:color w:val="auto"/>
        </w:rPr>
      </w:pPr>
    </w:p>
    <w:p>
      <w:pPr>
        <w:ind w:right="160" w:firstLine="439"/>
        <w:spacing w:after="0" w:line="293" w:lineRule="auto"/>
        <w:tabs>
          <w:tab w:leader="none" w:pos="67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Publicity</w:t>
      </w:r>
      <w:r>
        <w:rPr>
          <w:rFonts w:ascii="Arial" w:cs="Arial" w:eastAsia="Arial" w:hAnsi="Arial"/>
          <w:sz w:val="16"/>
          <w:szCs w:val="16"/>
          <w:color w:val="auto"/>
        </w:rPr>
        <w:t>. The Buyer shall have the right to approve before issuance any press release, SEC filing or any other public disclosure made by or on behalf of the Company whatsoever with respect to, in any manner, the Buyer, its purchases hereunder or any aspect of this Agreement or the transactions contemplated hereby; provided, however, that the Company shall be entitled, without the prior approval of the Buyer, to make any press release or other public disclosure (including any filings with the SEC) with respect to such transactions as is required by applicable law and regulations so long as the Company and its counsel consult with the Buyer in connection with any such press release or other public disclosure at least one (1) Business Day prior to its release. The Buyer must be provided with a copy thereof at least one (1) Business Day prior to any release or use by the Company thereof.</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41" w:right="279" w:bottom="1440" w:gutter="0" w:footer="0" w:header="0"/>
        </w:sectPr>
      </w:pPr>
    </w:p>
    <w:bookmarkStart w:id="21" w:name="page22"/>
    <w:bookmarkEnd w:id="21"/>
    <w:p>
      <w:pPr>
        <w:ind w:right="320" w:firstLine="439"/>
        <w:spacing w:after="0" w:line="286" w:lineRule="auto"/>
        <w:tabs>
          <w:tab w:leader="none" w:pos="692"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65" w:lineRule="exact"/>
        <w:rPr>
          <w:rFonts w:ascii="Arial" w:cs="Arial" w:eastAsia="Arial" w:hAnsi="Arial"/>
          <w:sz w:val="17"/>
          <w:szCs w:val="17"/>
          <w:color w:val="auto"/>
        </w:rPr>
      </w:pPr>
    </w:p>
    <w:p>
      <w:pPr>
        <w:ind w:left="780" w:hanging="291"/>
        <w:spacing w:after="0"/>
        <w:tabs>
          <w:tab w:leader="none" w:pos="78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only as follows:</w:t>
      </w:r>
    </w:p>
    <w:p>
      <w:pPr>
        <w:spacing w:after="0" w:line="225" w:lineRule="exact"/>
        <w:rPr>
          <w:rFonts w:ascii="Arial" w:cs="Arial" w:eastAsia="Arial" w:hAnsi="Arial"/>
          <w:sz w:val="18"/>
          <w:szCs w:val="18"/>
          <w:color w:val="auto"/>
        </w:rPr>
      </w:pPr>
    </w:p>
    <w:p>
      <w:pPr>
        <w:ind w:left="520" w:firstLine="435"/>
        <w:spacing w:after="0" w:line="291" w:lineRule="auto"/>
        <w:tabs>
          <w:tab w:leader="none" w:pos="1227"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By the Buyer any time an Event of Default exists, without any liability or payment to the Company. However, if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 (any of which would be an Event of Default as described in </w:t>
      </w:r>
      <w:r>
        <w:rPr>
          <w:rFonts w:ascii="Arial" w:cs="Arial" w:eastAsia="Arial" w:hAnsi="Arial"/>
          <w:sz w:val="16"/>
          <w:szCs w:val="16"/>
          <w:u w:val="single" w:color="auto"/>
          <w:color w:val="auto"/>
        </w:rPr>
        <w:t>Sections 9(f)</w:t>
      </w:r>
      <w:r>
        <w:rPr>
          <w:rFonts w:ascii="Arial" w:cs="Arial" w:eastAsia="Arial" w:hAnsi="Arial"/>
          <w:sz w:val="16"/>
          <w:szCs w:val="16"/>
          <w:color w:val="auto"/>
        </w:rPr>
        <w:t xml:space="preserve">, </w:t>
      </w:r>
      <w:r>
        <w:rPr>
          <w:rFonts w:ascii="Arial" w:cs="Arial" w:eastAsia="Arial" w:hAnsi="Arial"/>
          <w:sz w:val="16"/>
          <w:szCs w:val="16"/>
          <w:u w:val="single" w:color="auto"/>
          <w:color w:val="auto"/>
        </w:rPr>
        <w:t>9(g)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9(h)</w:t>
      </w:r>
      <w:r>
        <w:rPr>
          <w:rFonts w:ascii="Arial" w:cs="Arial" w:eastAsia="Arial" w:hAnsi="Arial"/>
          <w:sz w:val="16"/>
          <w:szCs w:val="16"/>
          <w:color w:val="auto"/>
        </w:rPr>
        <w:t xml:space="preserve"> hereof) this Agreement shall automatically terminate without any liability or payment to the Company without further action or notice by any Person. No such termination of this Agreement under this </w:t>
      </w:r>
      <w:r>
        <w:rPr>
          <w:rFonts w:ascii="Arial" w:cs="Arial" w:eastAsia="Arial" w:hAnsi="Arial"/>
          <w:sz w:val="16"/>
          <w:szCs w:val="16"/>
          <w:u w:val="single" w:color="auto"/>
          <w:color w:val="auto"/>
        </w:rPr>
        <w:t>Section 11(m)(i)</w:t>
      </w:r>
      <w:r>
        <w:rPr>
          <w:rFonts w:ascii="Arial" w:cs="Arial" w:eastAsia="Arial" w:hAnsi="Arial"/>
          <w:sz w:val="16"/>
          <w:szCs w:val="16"/>
          <w:color w:val="auto"/>
        </w:rPr>
        <w:t xml:space="preserve"> shall affect the Company’s or the Buyer’s obligations under this Agreement with respect to pending purchases and the Company and the Buyer shall complete their respective obligations with respect to any pending purchases under this Agreement.</w:t>
      </w:r>
    </w:p>
    <w:p>
      <w:pPr>
        <w:spacing w:after="0" w:line="167" w:lineRule="exact"/>
        <w:rPr>
          <w:rFonts w:ascii="Arial" w:cs="Arial" w:eastAsia="Arial" w:hAnsi="Arial"/>
          <w:sz w:val="16"/>
          <w:szCs w:val="16"/>
          <w:color w:val="auto"/>
        </w:rPr>
      </w:pPr>
    </w:p>
    <w:p>
      <w:pPr>
        <w:ind w:left="520" w:right="500" w:firstLine="435"/>
        <w:spacing w:after="0" w:line="308" w:lineRule="auto"/>
        <w:tabs>
          <w:tab w:leader="none" w:pos="1291" w:val="left"/>
        </w:tabs>
        <w:numPr>
          <w:ilvl w:val="2"/>
          <w:numId w:val="35"/>
        </w:numPr>
        <w:rPr>
          <w:rFonts w:ascii="Arial" w:cs="Arial" w:eastAsia="Arial" w:hAnsi="Arial"/>
          <w:sz w:val="17"/>
          <w:szCs w:val="17"/>
          <w:color w:val="auto"/>
        </w:rPr>
      </w:pPr>
      <w:r>
        <w:rPr>
          <w:rFonts w:ascii="Arial" w:cs="Arial" w:eastAsia="Arial" w:hAnsi="Arial"/>
          <w:sz w:val="17"/>
          <w:szCs w:val="17"/>
          <w:color w:val="auto"/>
        </w:rPr>
        <w:t>In the event that the Commencement shall not have occurred the Company shall have the option to terminate this Agreement for any reason or for no reason without any liability whatsoever of either party to the other party under this Agreement.</w:t>
      </w:r>
    </w:p>
    <w:p>
      <w:pPr>
        <w:spacing w:after="0" w:line="146" w:lineRule="exact"/>
        <w:rPr>
          <w:rFonts w:ascii="Arial" w:cs="Arial" w:eastAsia="Arial" w:hAnsi="Arial"/>
          <w:sz w:val="17"/>
          <w:szCs w:val="17"/>
          <w:color w:val="auto"/>
        </w:rPr>
      </w:pPr>
    </w:p>
    <w:p>
      <w:pPr>
        <w:ind w:left="520" w:right="20" w:firstLine="435"/>
        <w:spacing w:after="0" w:line="273" w:lineRule="auto"/>
        <w:tabs>
          <w:tab w:leader="none" w:pos="1300" w:val="left"/>
        </w:tabs>
        <w:numPr>
          <w:ilvl w:val="2"/>
          <w:numId w:val="35"/>
        </w:numPr>
        <w:rPr>
          <w:rFonts w:ascii="Arial" w:cs="Arial" w:eastAsia="Arial" w:hAnsi="Arial"/>
          <w:sz w:val="17"/>
          <w:szCs w:val="17"/>
          <w:color w:val="auto"/>
        </w:rPr>
      </w:pPr>
      <w:r>
        <w:rPr>
          <w:rFonts w:ascii="Arial" w:cs="Arial" w:eastAsia="Arial" w:hAnsi="Arial"/>
          <w:sz w:val="17"/>
          <w:szCs w:val="17"/>
          <w:color w:val="auto"/>
        </w:rPr>
        <w:t xml:space="preserve">In the event that the Commencement shall not have occurred within ten (10) Business Days of the date of this Agreement, due to the failure to satisfy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above with respect to the Commencement, either party shall have the option to terminate this Agreement at the close of business on such date or thereafter without liability of either party to any other party; provided, however, that the right to terminate this Agreement under this </w:t>
      </w:r>
      <w:r>
        <w:rPr>
          <w:rFonts w:ascii="Arial" w:cs="Arial" w:eastAsia="Arial" w:hAnsi="Arial"/>
          <w:sz w:val="17"/>
          <w:szCs w:val="17"/>
          <w:u w:val="single" w:color="auto"/>
          <w:color w:val="auto"/>
        </w:rPr>
        <w:t>Section 11(m)(iii)</w:t>
      </w:r>
      <w:r>
        <w:rPr>
          <w:rFonts w:ascii="Arial" w:cs="Arial" w:eastAsia="Arial" w:hAnsi="Arial"/>
          <w:sz w:val="17"/>
          <w:szCs w:val="17"/>
          <w:color w:val="auto"/>
        </w:rPr>
        <w:t xml:space="preserve"> shall not be available to either party if such failure to satisfy any of the conditions set forth in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w:t>
      </w:r>
      <w:r>
        <w:rPr>
          <w:rFonts w:ascii="Arial" w:cs="Arial" w:eastAsia="Arial" w:hAnsi="Arial"/>
          <w:sz w:val="17"/>
          <w:szCs w:val="17"/>
          <w:color w:val="auto"/>
        </w:rPr>
        <w:t xml:space="preserve"> is the result of a breach of this Agreement by such party or the failure of any representation or warranty of such party included in this Agreement to be true and correct in all material respects.</w:t>
      </w:r>
    </w:p>
    <w:p>
      <w:pPr>
        <w:spacing w:after="0" w:line="178" w:lineRule="exact"/>
        <w:rPr>
          <w:rFonts w:ascii="Arial" w:cs="Arial" w:eastAsia="Arial" w:hAnsi="Arial"/>
          <w:sz w:val="17"/>
          <w:szCs w:val="17"/>
          <w:color w:val="auto"/>
        </w:rPr>
      </w:pPr>
    </w:p>
    <w:p>
      <w:pPr>
        <w:ind w:left="520" w:right="140" w:firstLine="435"/>
        <w:spacing w:after="0" w:line="259" w:lineRule="auto"/>
        <w:tabs>
          <w:tab w:leader="none" w:pos="1344" w:val="left"/>
        </w:tabs>
        <w:numPr>
          <w:ilvl w:val="2"/>
          <w:numId w:val="35"/>
        </w:numPr>
        <w:rPr>
          <w:rFonts w:ascii="Arial" w:cs="Arial" w:eastAsia="Arial" w:hAnsi="Arial"/>
          <w:sz w:val="18"/>
          <w:szCs w:val="18"/>
          <w:color w:val="auto"/>
        </w:rPr>
      </w:pPr>
      <w:r>
        <w:rPr>
          <w:rFonts w:ascii="Arial" w:cs="Arial" w:eastAsia="Arial" w:hAnsi="Arial"/>
          <w:sz w:val="18"/>
          <w:szCs w:val="18"/>
          <w:color w:val="auto"/>
        </w:rPr>
        <w:t>At any time after the Commencement Date, so long as a purchase of a portion of the Purchase Shares is not in the process of being consummated and the date of the proposed termination is not within thirty (30) calendar days after the date of a Purchase Notice, the Company shall have the option to terminate this Agreement for any reason or for no reason by delivering notice to the Buyer electing to terminate this Agreement without any liability whatsoever of either party to the other party under this Agreement.</w:t>
      </w:r>
    </w:p>
    <w:p>
      <w:pPr>
        <w:spacing w:after="0" w:line="186" w:lineRule="exact"/>
        <w:rPr>
          <w:rFonts w:ascii="Arial" w:cs="Arial" w:eastAsia="Arial" w:hAnsi="Arial"/>
          <w:sz w:val="18"/>
          <w:szCs w:val="18"/>
          <w:color w:val="auto"/>
        </w:rPr>
      </w:pPr>
    </w:p>
    <w:p>
      <w:pPr>
        <w:ind w:left="1240" w:hanging="285"/>
        <w:spacing w:after="0"/>
        <w:tabs>
          <w:tab w:leader="none" w:pos="1240" w:val="left"/>
        </w:tabs>
        <w:numPr>
          <w:ilvl w:val="2"/>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45"/>
        <w:spacing w:after="0"/>
        <w:tabs>
          <w:tab w:leader="none" w:pos="1300" w:val="left"/>
        </w:tabs>
        <w:numPr>
          <w:ilvl w:val="2"/>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left="520" w:right="140"/>
        <w:spacing w:after="0" w:line="291"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Sections 11(m)(i)</w:t>
      </w:r>
      <w:r>
        <w:rPr>
          <w:rFonts w:ascii="Arial" w:cs="Arial" w:eastAsia="Arial" w:hAnsi="Arial"/>
          <w:sz w:val="16"/>
          <w:szCs w:val="16"/>
          <w:color w:val="auto"/>
        </w:rPr>
        <w:t xml:space="preserve"> (in respect of an Event of Default under </w:t>
      </w:r>
      <w:r>
        <w:rPr>
          <w:rFonts w:ascii="Arial" w:cs="Arial" w:eastAsia="Arial" w:hAnsi="Arial"/>
          <w:sz w:val="16"/>
          <w:szCs w:val="16"/>
          <w:u w:val="single" w:color="auto"/>
          <w:color w:val="auto"/>
        </w:rPr>
        <w:t>Sections 9(f)</w:t>
      </w:r>
      <w:r>
        <w:rPr>
          <w:rFonts w:ascii="Arial" w:cs="Arial" w:eastAsia="Arial" w:hAnsi="Arial"/>
          <w:sz w:val="16"/>
          <w:szCs w:val="16"/>
          <w:color w:val="auto"/>
        </w:rPr>
        <w:t xml:space="preserve">, </w:t>
      </w:r>
      <w:r>
        <w:rPr>
          <w:rFonts w:ascii="Arial" w:cs="Arial" w:eastAsia="Arial" w:hAnsi="Arial"/>
          <w:sz w:val="16"/>
          <w:szCs w:val="16"/>
          <w:u w:val="single" w:color="auto"/>
          <w:color w:val="auto"/>
        </w:rPr>
        <w:t>9(g)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9(h)</w:t>
      </w:r>
      <w:r>
        <w:rPr>
          <w:rFonts w:ascii="Arial" w:cs="Arial" w:eastAsia="Arial" w:hAnsi="Arial"/>
          <w:sz w:val="16"/>
          <w:szCs w:val="16"/>
          <w:color w:val="auto"/>
        </w:rPr>
        <w:t xml:space="preserve">), any termination of this Agreement pursuant to this </w:t>
      </w:r>
      <w:r>
        <w:rPr>
          <w:rFonts w:ascii="Arial" w:cs="Arial" w:eastAsia="Arial" w:hAnsi="Arial"/>
          <w:sz w:val="16"/>
          <w:szCs w:val="16"/>
          <w:u w:val="single" w:color="auto"/>
          <w:color w:val="auto"/>
        </w:rPr>
        <w:t>Section 11(m)</w:t>
      </w:r>
      <w:r>
        <w:rPr>
          <w:rFonts w:ascii="Arial" w:cs="Arial" w:eastAsia="Arial" w:hAnsi="Arial"/>
          <w:sz w:val="16"/>
          <w:szCs w:val="16"/>
          <w:color w:val="auto"/>
        </w:rPr>
        <w:t xml:space="preserve"> shall be effected by written notice from the Company to the Buyer, or the Buyer to the Company, as the case may be, setting forth the basis for the termination hereof. The representations and warranties of the Company and the Buyer contained in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w:t>
      </w:r>
      <w:r>
        <w:rPr>
          <w:rFonts w:ascii="Arial" w:cs="Arial" w:eastAsia="Arial" w:hAnsi="Arial"/>
          <w:sz w:val="16"/>
          <w:szCs w:val="16"/>
          <w:color w:val="auto"/>
        </w:rPr>
        <w:t xml:space="preserve"> hereof, the indemnification provisions set forth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and the agreements and covenants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shall survive the Commencement and any termination of this Agreement. No termination of this Agreement shall affect the Company’s or the Buyer’s rights or obligations under the Agreement which shall survive any such termination in accordance with its terms or with respect to pending purchases and the Company and the Buyer shall complete their respective obligations with respect to any pending purchases under this Agreement.</w:t>
      </w:r>
    </w:p>
    <w:p>
      <w:pPr>
        <w:spacing w:after="0" w:line="1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41" w:right="239" w:bottom="1440" w:gutter="0" w:footer="0" w:header="0"/>
        </w:sectPr>
      </w:pPr>
    </w:p>
    <w:bookmarkStart w:id="22" w:name="page23"/>
    <w:bookmarkEnd w:id="22"/>
    <w:p>
      <w:pPr>
        <w:ind w:firstLine="439"/>
        <w:spacing w:after="0" w:line="293" w:lineRule="auto"/>
        <w:tabs>
          <w:tab w:leader="none" w:pos="67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Financial Advisor, Placement Agent, Broker or Finder</w:t>
      </w:r>
      <w:r>
        <w:rPr>
          <w:rFonts w:ascii="Arial" w:cs="Arial" w:eastAsia="Arial" w:hAnsi="Arial"/>
          <w:sz w:val="16"/>
          <w:szCs w:val="16"/>
          <w:color w:val="auto"/>
        </w:rPr>
        <w:t>. The Company represents and warrants to the Buyer that it has not engaged any financial advisor, placement agent, broker or finder in connection with the transactions contemplated hereby. The Buyer represents and warrants to the Company that it has not engaged any financial advisor, placement agent, broker or finder in connection with the transactions contemplated hereby. Each party shall be responsible for the payment of any fees or commissions, if any, of any financial advisor, placement agent, broker or finder engaged by such party relating to or arising out of the transactions contemplated hereby. Each party shall pay, and hold the other party harmless against, any liability, loss or expense (including, without limitation, attorneys’ fees and out of pocket expenses) arising in connection with any such claim.</w:t>
      </w:r>
    </w:p>
    <w:p>
      <w:pPr>
        <w:spacing w:after="0" w:line="164" w:lineRule="exact"/>
        <w:rPr>
          <w:rFonts w:ascii="Arial" w:cs="Arial" w:eastAsia="Arial" w:hAnsi="Arial"/>
          <w:sz w:val="16"/>
          <w:szCs w:val="16"/>
          <w:color w:val="auto"/>
        </w:rPr>
      </w:pPr>
    </w:p>
    <w:p>
      <w:pPr>
        <w:ind w:right="380" w:firstLine="439"/>
        <w:spacing w:after="0" w:line="277" w:lineRule="auto"/>
        <w:tabs>
          <w:tab w:leader="none" w:pos="77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will be deemed to be the language chosen by the parties to express their mutual intent, and no rules of strict construction will be applied against any party.</w:t>
      </w:r>
    </w:p>
    <w:p>
      <w:pPr>
        <w:spacing w:after="0" w:line="170" w:lineRule="exact"/>
        <w:rPr>
          <w:rFonts w:ascii="Arial" w:cs="Arial" w:eastAsia="Arial" w:hAnsi="Arial"/>
          <w:sz w:val="18"/>
          <w:szCs w:val="18"/>
          <w:color w:val="auto"/>
        </w:rPr>
      </w:pPr>
    </w:p>
    <w:p>
      <w:pPr>
        <w:ind w:right="140" w:firstLine="439"/>
        <w:spacing w:after="0" w:line="264" w:lineRule="auto"/>
        <w:tabs>
          <w:tab w:leader="none" w:pos="71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7" w:lineRule="exact"/>
        <w:rPr>
          <w:sz w:val="20"/>
          <w:szCs w:val="20"/>
          <w:color w:val="auto"/>
        </w:rPr>
      </w:pPr>
    </w:p>
    <w:p>
      <w:pPr>
        <w:jc w:val="center"/>
        <w:ind w:right="80"/>
        <w:spacing w:after="0"/>
        <w:tabs>
          <w:tab w:leader="none" w:pos="260" w:val="left"/>
          <w:tab w:leader="none" w:pos="280" w:val="left"/>
          <w:tab w:leader="none" w:pos="280" w:val="left"/>
          <w:tab w:leader="none" w:pos="340" w:val="left"/>
        </w:tabs>
        <w:rPr>
          <w:sz w:val="20"/>
          <w:szCs w:val="20"/>
          <w:color w:val="auto"/>
        </w:rPr>
      </w:pP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340" w:top="341" w:right="259" w:bottom="1440" w:gutter="0" w:footer="0" w:header="0"/>
        </w:sectPr>
      </w:pPr>
    </w:p>
    <w:bookmarkStart w:id="23" w:name="page24"/>
    <w:bookmarkEnd w:id="23"/>
    <w:p>
      <w:pPr>
        <w:ind w:left="100" w:right="60" w:firstLine="4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Buyer and the Company have caused this Common Stock Purchase Agreement to be duly executed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above.</w:t>
      </w: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THE COMPANY</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JAGUAR HEALTH, INC.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Lisa Conte</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Lisa Conte</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OASIS CAPITAL,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Long</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Adam Long</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Managing Partner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OFFICER’S CERTIFICATE</w:t>
      </w:r>
    </w:p>
    <w:p>
      <w:pPr>
        <w:spacing w:after="0" w:line="225" w:lineRule="exact"/>
        <w:rPr>
          <w:sz w:val="20"/>
          <w:szCs w:val="20"/>
          <w:color w:val="auto"/>
        </w:rPr>
      </w:pPr>
    </w:p>
    <w:p>
      <w:pPr>
        <w:ind w:firstLine="881"/>
        <w:spacing w:after="0" w:line="261" w:lineRule="auto"/>
        <w:rPr>
          <w:sz w:val="20"/>
          <w:szCs w:val="20"/>
          <w:color w:val="auto"/>
        </w:rPr>
      </w:pPr>
      <w:r>
        <w:rPr>
          <w:rFonts w:ascii="Arial" w:cs="Arial" w:eastAsia="Arial" w:hAnsi="Arial"/>
          <w:sz w:val="18"/>
          <w:szCs w:val="18"/>
          <w:color w:val="auto"/>
        </w:rPr>
        <w:t>This Officer’s Certificate (“</w:t>
      </w:r>
      <w:r>
        <w:rPr>
          <w:rFonts w:ascii="Arial" w:cs="Arial" w:eastAsia="Arial" w:hAnsi="Arial"/>
          <w:sz w:val="18"/>
          <w:szCs w:val="18"/>
          <w:b w:val="1"/>
          <w:bCs w:val="1"/>
          <w:color w:val="auto"/>
        </w:rPr>
        <w:t>Certificate</w:t>
      </w:r>
      <w:r>
        <w:rPr>
          <w:rFonts w:ascii="Arial" w:cs="Arial" w:eastAsia="Arial" w:hAnsi="Arial"/>
          <w:sz w:val="18"/>
          <w:szCs w:val="18"/>
          <w:color w:val="auto"/>
        </w:rPr>
        <w:t xml:space="preserve">”) is being delivered pursuant to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that certain Common Stock Purchase Agreement dated as of January 7, 2019 (the “</w:t>
      </w:r>
      <w:r>
        <w:rPr>
          <w:rFonts w:ascii="Arial" w:cs="Arial" w:eastAsia="Arial" w:hAnsi="Arial"/>
          <w:sz w:val="18"/>
          <w:szCs w:val="18"/>
          <w:b w:val="1"/>
          <w:bCs w:val="1"/>
          <w:color w:val="auto"/>
        </w:rPr>
        <w:t>Common Stock Purchase Agreement</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JAGUAR HEALTH,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OASIS CAPITAL, LLC</w:t>
      </w:r>
      <w:r>
        <w:rPr>
          <w:rFonts w:ascii="Arial" w:cs="Arial" w:eastAsia="Arial" w:hAnsi="Arial"/>
          <w:sz w:val="18"/>
          <w:szCs w:val="18"/>
          <w:color w:val="auto"/>
        </w:rPr>
        <w:t>, a Puerto Rico limited liability company (the “</w:t>
      </w:r>
      <w:r>
        <w:rPr>
          <w:rFonts w:ascii="Arial" w:cs="Arial" w:eastAsia="Arial" w:hAnsi="Arial"/>
          <w:sz w:val="18"/>
          <w:szCs w:val="18"/>
          <w:b w:val="1"/>
          <w:bCs w:val="1"/>
          <w:color w:val="auto"/>
        </w:rPr>
        <w:t>Buyer</w:t>
      </w:r>
      <w:r>
        <w:rPr>
          <w:rFonts w:ascii="Arial" w:cs="Arial" w:eastAsia="Arial" w:hAnsi="Arial"/>
          <w:sz w:val="18"/>
          <w:szCs w:val="18"/>
          <w:color w:val="auto"/>
        </w:rPr>
        <w:t>”). Terms used herein and not otherwise defined shall have the meanings ascribed to them in the Common Stock Purchase Agreement.</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undersigned of the Company, hereby certifies as follows:</w:t>
      </w:r>
    </w:p>
    <w:p>
      <w:pPr>
        <w:spacing w:after="0" w:line="225" w:lineRule="exact"/>
        <w:rPr>
          <w:sz w:val="20"/>
          <w:szCs w:val="20"/>
          <w:color w:val="auto"/>
        </w:rPr>
      </w:pPr>
    </w:p>
    <w:p>
      <w:pPr>
        <w:ind w:left="1600" w:hanging="207"/>
        <w:spacing w:after="0"/>
        <w:tabs>
          <w:tab w:leader="none" w:pos="1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am the Chief Executive Officer of the Company and make the statements contained in this Certificate in my capacity as such;</w:t>
      </w:r>
    </w:p>
    <w:p>
      <w:pPr>
        <w:spacing w:after="0" w:line="236" w:lineRule="exact"/>
        <w:rPr>
          <w:rFonts w:ascii="Arial" w:cs="Arial" w:eastAsia="Arial" w:hAnsi="Arial"/>
          <w:sz w:val="17"/>
          <w:szCs w:val="17"/>
          <w:color w:val="auto"/>
        </w:rPr>
      </w:pPr>
    </w:p>
    <w:p>
      <w:pPr>
        <w:ind w:left="520" w:right="200" w:firstLine="873"/>
        <w:spacing w:after="0" w:line="279" w:lineRule="auto"/>
        <w:tabs>
          <w:tab w:leader="none" w:pos="16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Company are true and correct in all material respects (except to the extent that any of such representations and warranties is already qualified as to materiality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the Common Stock Purchase Agreement, in which case, such representations and warranties are true and correct without further qualification) as of the date when made and as of the Commencement Date as though made at that time (except for representations and warranties that speak as of a specific date);</w:t>
      </w:r>
    </w:p>
    <w:p>
      <w:pPr>
        <w:spacing w:after="0" w:line="171" w:lineRule="exact"/>
        <w:rPr>
          <w:rFonts w:ascii="Arial" w:cs="Arial" w:eastAsia="Arial" w:hAnsi="Arial"/>
          <w:sz w:val="17"/>
          <w:szCs w:val="17"/>
          <w:color w:val="auto"/>
        </w:rPr>
      </w:pPr>
    </w:p>
    <w:p>
      <w:pPr>
        <w:ind w:left="520" w:right="200" w:firstLine="873"/>
        <w:spacing w:after="0" w:line="308" w:lineRule="auto"/>
        <w:tabs>
          <w:tab w:leader="none" w:pos="1631"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has performed, satisfied and complied in all material respects with covenants, agreements and conditions required by the Transaction Documents to be performed, satisfied or complied with by the Company at or prior to the Commencement Date.</w:t>
      </w:r>
    </w:p>
    <w:p>
      <w:pPr>
        <w:spacing w:after="0" w:line="146" w:lineRule="exact"/>
        <w:rPr>
          <w:rFonts w:ascii="Arial" w:cs="Arial" w:eastAsia="Arial" w:hAnsi="Arial"/>
          <w:sz w:val="17"/>
          <w:szCs w:val="17"/>
          <w:color w:val="auto"/>
        </w:rPr>
      </w:pPr>
    </w:p>
    <w:p>
      <w:pPr>
        <w:ind w:left="520" w:right="100" w:firstLine="873"/>
        <w:spacing w:after="0" w:line="312" w:lineRule="auto"/>
        <w:tabs>
          <w:tab w:leader="none" w:pos="16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Company has not taken any steps, and does not currently expect to take any steps, to seek protection pursuant to any Bankruptcy Law nor does the Company or any of its Subsidiaries have any knowledge or reason to believe that its creditors intend to initiate involuntary bankruptcy or insolvency proceedings. The Company is financially solvent and is generally able to pay its debts as they become due.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I have hereunder signed my name on this day of January 7, 2019.</w:t>
      </w:r>
    </w:p>
    <w:p>
      <w:pPr>
        <w:spacing w:after="0" w:line="200" w:lineRule="exact"/>
        <w:rPr>
          <w:sz w:val="20"/>
          <w:szCs w:val="20"/>
          <w:color w:val="auto"/>
        </w:rPr>
      </w:pPr>
    </w:p>
    <w:p>
      <w:pPr>
        <w:spacing w:after="0" w:line="236" w:lineRule="exact"/>
        <w:rPr>
          <w:sz w:val="20"/>
          <w:szCs w:val="20"/>
          <w:color w:val="auto"/>
        </w:rPr>
      </w:pPr>
    </w:p>
    <w:tbl>
      <w:tblPr>
        <w:tblLayout w:type="fixed"/>
        <w:tblInd w:w="5620" w:type="dxa"/>
        <w:tblCellMar>
          <w:top w:w="0" w:type="dxa"/>
          <w:left w:w="0" w:type="dxa"/>
          <w:bottom w:w="0" w:type="dxa"/>
          <w:right w:w="0" w:type="dxa"/>
        </w:tblCellMar>
      </w:tblPr>
      <w:tr>
        <w:trPr>
          <w:trHeight w:val="215"/>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Lisa Conte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8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198" w:lineRule="exact"/>
        <w:rPr>
          <w:sz w:val="20"/>
          <w:szCs w:val="20"/>
          <w:color w:val="auto"/>
        </w:rPr>
      </w:pPr>
    </w:p>
    <w:p>
      <w:pPr>
        <w:jc w:val="both"/>
        <w:ind w:right="20" w:firstLine="440"/>
        <w:spacing w:after="0" w:line="282" w:lineRule="auto"/>
        <w:rPr>
          <w:sz w:val="20"/>
          <w:szCs w:val="20"/>
          <w:color w:val="auto"/>
        </w:rPr>
      </w:pPr>
      <w:r>
        <w:rPr>
          <w:rFonts w:ascii="Arial" w:cs="Arial" w:eastAsia="Arial" w:hAnsi="Arial"/>
          <w:sz w:val="18"/>
          <w:szCs w:val="18"/>
          <w:color w:val="auto"/>
        </w:rPr>
        <w:t xml:space="preserve">The undersigned as Secretary of </w:t>
      </w:r>
      <w:r>
        <w:rPr>
          <w:rFonts w:ascii="Arial" w:cs="Arial" w:eastAsia="Arial" w:hAnsi="Arial"/>
          <w:sz w:val="18"/>
          <w:szCs w:val="18"/>
          <w:b w:val="1"/>
          <w:bCs w:val="1"/>
          <w:color w:val="auto"/>
        </w:rPr>
        <w:t>JAGUAR HEALTH, INC.</w:t>
      </w:r>
      <w:r>
        <w:rPr>
          <w:rFonts w:ascii="Arial" w:cs="Arial" w:eastAsia="Arial" w:hAnsi="Arial"/>
          <w:sz w:val="18"/>
          <w:szCs w:val="18"/>
          <w:color w:val="auto"/>
        </w:rPr>
        <w:t>, a Delaware corporation, hereby certifies that is the duly elected, appointed, qualified and acting of the Company and that the signature appearing above is his/her genuine signature.</w:t>
      </w:r>
    </w:p>
    <w:p>
      <w:pPr>
        <w:spacing w:after="0" w:line="3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3569335</wp:posOffset>
            </wp:positionH>
            <wp:positionV relativeFrom="paragraph">
              <wp:posOffset>-130175</wp:posOffset>
            </wp:positionV>
            <wp:extent cx="36188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40" w:top="337"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PRICING COMMITTEE RESOLUTION</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FOR SIGNING PURCHASE AGREEMENT</w:t>
      </w:r>
    </w:p>
    <w:p>
      <w:pPr>
        <w:spacing w:after="0" w:line="20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WHEREAS, management has reviewed with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the background, terms and conditions of the transactions subject to the Common Stock Purchase Agreement (the “</w:t>
      </w:r>
      <w:r>
        <w:rPr>
          <w:rFonts w:ascii="Arial" w:cs="Arial" w:eastAsia="Arial" w:hAnsi="Arial"/>
          <w:sz w:val="16"/>
          <w:szCs w:val="16"/>
          <w:b w:val="1"/>
          <w:bCs w:val="1"/>
          <w:color w:val="auto"/>
        </w:rPr>
        <w:t>Purchase Agreement</w:t>
      </w:r>
      <w:r>
        <w:rPr>
          <w:rFonts w:ascii="Arial" w:cs="Arial" w:eastAsia="Arial" w:hAnsi="Arial"/>
          <w:sz w:val="16"/>
          <w:szCs w:val="16"/>
          <w:color w:val="auto"/>
        </w:rPr>
        <w:t xml:space="preserve">”) by and between the Company and Oasis Capital, LLC (“ </w:t>
      </w:r>
      <w:r>
        <w:rPr>
          <w:rFonts w:ascii="Arial" w:cs="Arial" w:eastAsia="Arial" w:hAnsi="Arial"/>
          <w:sz w:val="16"/>
          <w:szCs w:val="16"/>
          <w:b w:val="1"/>
          <w:bCs w:val="1"/>
          <w:color w:val="auto"/>
        </w:rPr>
        <w:t>Buyer</w:t>
      </w:r>
      <w:r>
        <w:rPr>
          <w:rFonts w:ascii="Arial" w:cs="Arial" w:eastAsia="Arial" w:hAnsi="Arial"/>
          <w:sz w:val="16"/>
          <w:szCs w:val="16"/>
          <w:color w:val="auto"/>
        </w:rPr>
        <w:t>”), including all material terms and conditions of the transactions subject thereto, providing for the purchase by Buyer of up to 13,333,333 shares of the Company’s common stock (the “</w:t>
      </w:r>
      <w:r>
        <w:rPr>
          <w:rFonts w:ascii="Arial" w:cs="Arial" w:eastAsia="Arial" w:hAnsi="Arial"/>
          <w:sz w:val="16"/>
          <w:szCs w:val="16"/>
          <w:b w:val="1"/>
          <w:bCs w:val="1"/>
          <w:color w:val="auto"/>
        </w:rPr>
        <w:t>Purchase Shares</w:t>
      </w:r>
      <w:r>
        <w:rPr>
          <w:rFonts w:ascii="Arial" w:cs="Arial" w:eastAsia="Arial" w:hAnsi="Arial"/>
          <w:sz w:val="16"/>
          <w:szCs w:val="16"/>
          <w:color w:val="auto"/>
        </w:rPr>
        <w:t>”), par value $0.0001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and issuance of 300,000 shares of Common Stock (the “</w:t>
      </w:r>
      <w:r>
        <w:rPr>
          <w:rFonts w:ascii="Arial" w:cs="Arial" w:eastAsia="Arial" w:hAnsi="Arial"/>
          <w:sz w:val="16"/>
          <w:szCs w:val="16"/>
          <w:b w:val="1"/>
          <w:bCs w:val="1"/>
          <w:color w:val="auto"/>
        </w:rPr>
        <w:t>Commitment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the Purchase Shares, the “</w:t>
      </w:r>
      <w:r>
        <w:rPr>
          <w:rFonts w:ascii="Arial" w:cs="Arial" w:eastAsia="Arial" w:hAnsi="Arial"/>
          <w:sz w:val="16"/>
          <w:szCs w:val="16"/>
          <w:b w:val="1"/>
          <w:bCs w:val="1"/>
          <w:color w:val="auto"/>
        </w:rPr>
        <w:t>Shares</w:t>
      </w:r>
      <w:r>
        <w:rPr>
          <w:rFonts w:ascii="Arial" w:cs="Arial" w:eastAsia="Arial" w:hAnsi="Arial"/>
          <w:sz w:val="16"/>
          <w:szCs w:val="16"/>
          <w:color w:val="auto"/>
        </w:rPr>
        <w:t>”) to Buyer for its commitment to enter into the Purchase Agreement;</w:t>
      </w:r>
    </w:p>
    <w:p>
      <w:pPr>
        <w:spacing w:after="0" w:line="154"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WHEREAS, after careful consideration of the term sheet, dated December 3, 2018, between the Company and Buyer (the “</w:t>
      </w:r>
      <w:r>
        <w:rPr>
          <w:rFonts w:ascii="Arial" w:cs="Arial" w:eastAsia="Arial" w:hAnsi="Arial"/>
          <w:sz w:val="18"/>
          <w:szCs w:val="18"/>
          <w:b w:val="1"/>
          <w:bCs w:val="1"/>
          <w:color w:val="auto"/>
        </w:rPr>
        <w:t>Term Sheet</w:t>
      </w:r>
      <w:r>
        <w:rPr>
          <w:rFonts w:ascii="Arial" w:cs="Arial" w:eastAsia="Arial" w:hAnsi="Arial"/>
          <w:sz w:val="18"/>
          <w:szCs w:val="18"/>
          <w:color w:val="auto"/>
        </w:rPr>
        <w:t>”) and other factors deemed relevant by the Board of Directors, the Board of Directors determined that it is advisable and in the best interests of the Company to engage in the transactions contemplated by the Term Sheet, including, but not limited to, the issuance and the sale of the Shares to Buyer pursuant to the terms set forth in the Term Sheet;</w:t>
      </w:r>
    </w:p>
    <w:p>
      <w:pPr>
        <w:spacing w:after="0" w:line="184"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WHEREAS, the Board has authorized the Company to offer, issue and sell the Shares in pursuant to terms set forth in the Term Sheet (the “</w:t>
      </w:r>
      <w:r>
        <w:rPr>
          <w:rFonts w:ascii="Arial" w:cs="Arial" w:eastAsia="Arial" w:hAnsi="Arial"/>
          <w:sz w:val="18"/>
          <w:szCs w:val="18"/>
          <w:b w:val="1"/>
          <w:bCs w:val="1"/>
          <w:color w:val="auto"/>
        </w:rPr>
        <w:t>Offering”</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Board has established this Pricing Committee; and</w:t>
      </w:r>
    </w:p>
    <w:p>
      <w:pPr>
        <w:spacing w:after="0" w:line="225"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WHEREAS, the Board has authorized, empowered and directed this Pricing Committee to take all actions in connection with the Offering, including, in its discretion, determining, authorizing and approving any additional terms relating to the offering, issuance, sale and delivery of the Shares, in each case, as the Board could itself take, consistent with these resolutions and subject to any restrictions imposed by applicable law.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 Documents</w:t>
      </w:r>
    </w:p>
    <w:p>
      <w:pPr>
        <w:spacing w:after="0" w:line="229"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NOW, THEREFORE, BE IT RESOLVED, that the transactions described in the Purchase Agreement are hereby approved and the Chief Executive Officer and the Chief Financial Officer of the Company (the “</w:t>
      </w:r>
      <w:r>
        <w:rPr>
          <w:rFonts w:ascii="Arial" w:cs="Arial" w:eastAsia="Arial" w:hAnsi="Arial"/>
          <w:sz w:val="17"/>
          <w:szCs w:val="17"/>
          <w:b w:val="1"/>
          <w:bCs w:val="1"/>
          <w:color w:val="auto"/>
        </w:rPr>
        <w:t>Authorized Officers</w:t>
      </w:r>
      <w:r>
        <w:rPr>
          <w:rFonts w:ascii="Arial" w:cs="Arial" w:eastAsia="Arial" w:hAnsi="Arial"/>
          <w:sz w:val="17"/>
          <w:szCs w:val="17"/>
          <w:color w:val="auto"/>
        </w:rPr>
        <w:t xml:space="preserve">”) are severally authorized to execute and deliver the Purchase Agreement in substantially the form attached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and any other agreements or documents contemplated thereby, in substantially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providing for the registration of the issuance and/or sale of shares of Common Stock to Buyer under the Purchase Agreement, with such amendments, changes, additions and deletions as the Authorized Officers may deem to be appropriate and approve on behalf of the Company, such approval to be conclusively evidenced by the signature of an Authorized Officer thereon; 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Common Stock</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FURTHER RESOLVED, that the Company is hereby authorized to issue the Shares under the Purchase Agreement, at a price per share in accordance with the terms of the Purchase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number of shares of Common Stock issued pursuant to the Purchase Agreement (including all Purchase Shares) shall not exceed the aggregate number of shares of Common Stock which the Company may issue without breaching the rules and regulations of the Principal Market (including rules related to the aggregation of offerings under Nasdaq Listing Rule 5635(d) if applicable) without the affirmative consent of the stockholders; and that, upon issuance of the Shares pursuant to the Purchase Agreement, including payment therefor, the Shares will be duly authorized, validly issued, fully paid and non-assessable; and</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340" w:top="337"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FURTHER RESOLVED, that the Authorized Officers are hereby authorized, in the name and on behalf of the Company:</w:t>
      </w:r>
    </w:p>
    <w:p>
      <w:pPr>
        <w:spacing w:after="0" w:line="221" w:lineRule="exact"/>
        <w:rPr>
          <w:sz w:val="20"/>
          <w:szCs w:val="20"/>
          <w:color w:val="auto"/>
        </w:rPr>
      </w:pPr>
    </w:p>
    <w:p>
      <w:pPr>
        <w:ind w:left="500" w:right="20" w:hanging="334"/>
        <w:spacing w:after="0" w:line="256"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prepare, execute and file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such prospectus supplements, including any preliminary or final prospectus supplement, to the Company’s Registration Statement on Form S-3 on file with the SEC (File No. 333-220236) (the “</w:t>
      </w:r>
      <w:r>
        <w:rPr>
          <w:rFonts w:ascii="Arial" w:cs="Arial" w:eastAsia="Arial" w:hAnsi="Arial"/>
          <w:sz w:val="18"/>
          <w:szCs w:val="18"/>
          <w:b w:val="1"/>
          <w:bCs w:val="1"/>
          <w:color w:val="auto"/>
        </w:rPr>
        <w:t>Shelf S-3</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the prospectus included therein and such additional documents, including any free writing prospectuses,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Officer so acting may determine, in his or her sole discretion, to be necessary, appropriate or desirable in connection with the transactions pursuant to the Purchase Agreement, such determination to be conclusively evidenced by the execution and filing of such prospectus supplements, prospectuses or additional documents; and</w:t>
      </w:r>
    </w:p>
    <w:p>
      <w:pPr>
        <w:spacing w:after="0" w:line="191" w:lineRule="exact"/>
        <w:rPr>
          <w:rFonts w:ascii="Arial" w:cs="Arial" w:eastAsia="Arial" w:hAnsi="Arial"/>
          <w:sz w:val="18"/>
          <w:szCs w:val="18"/>
          <w:color w:val="auto"/>
        </w:rPr>
      </w:pPr>
    </w:p>
    <w:p>
      <w:pPr>
        <w:ind w:left="500" w:right="80" w:hanging="334"/>
        <w:spacing w:after="0" w:line="342"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prepare, execute and file with the SEC one or more additional registration statements on Form S- 3 relating to the registration under the Securities Act of any Purchase Shares and Commitment Shares that were not registered pursuant to the Shelf S-3 Registration Statement, if required; and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Proceeds</w:t>
      </w:r>
    </w:p>
    <w:p>
      <w:pPr>
        <w:spacing w:after="0" w:line="229" w:lineRule="exact"/>
        <w:rPr>
          <w:sz w:val="20"/>
          <w:szCs w:val="20"/>
          <w:color w:val="auto"/>
        </w:rPr>
      </w:pPr>
    </w:p>
    <w:p>
      <w:pPr>
        <w:ind w:firstLine="440"/>
        <w:spacing w:after="0" w:line="297" w:lineRule="auto"/>
        <w:rPr>
          <w:sz w:val="20"/>
          <w:szCs w:val="20"/>
          <w:color w:val="auto"/>
        </w:rPr>
      </w:pPr>
      <w:r>
        <w:rPr>
          <w:rFonts w:ascii="Arial" w:cs="Arial" w:eastAsia="Arial" w:hAnsi="Arial"/>
          <w:sz w:val="16"/>
          <w:szCs w:val="16"/>
          <w:color w:val="auto"/>
        </w:rPr>
        <w:t xml:space="preserve">FURTHER RESOLVED, that following the sale of the Purchase Shares, it is the intention of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 to continue to be primarily engaged in its principal line of business (the “</w:t>
      </w:r>
      <w:r>
        <w:rPr>
          <w:rFonts w:ascii="Arial" w:cs="Arial" w:eastAsia="Arial" w:hAnsi="Arial"/>
          <w:sz w:val="16"/>
          <w:szCs w:val="16"/>
          <w:b w:val="1"/>
          <w:bCs w:val="1"/>
          <w:u w:val="single" w:color="auto"/>
          <w:color w:val="auto"/>
        </w:rPr>
        <w:t>Company Business</w:t>
      </w:r>
      <w:r>
        <w:rPr>
          <w:rFonts w:ascii="Arial" w:cs="Arial" w:eastAsia="Arial" w:hAnsi="Arial"/>
          <w:sz w:val="16"/>
          <w:szCs w:val="16"/>
          <w:color w:val="auto"/>
        </w:rPr>
        <w:t>”); (b) to employ the proceeds of the sale of the Purchase Shares in the Company Business; and (c) as soon as is reasonably possible, but in any event within one year from the closing of any sale of Purchase Shares, to have invested the proceeds of such sale not theretofore expended in the Company Business in a manner consistent with their preservation for future use in the Company Business and with the Company not being an “investment company” as defined in the Investment Company Act of 1940, as amended; and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Transfer Agent and Registrar</w:t>
      </w:r>
    </w:p>
    <w:p>
      <w:pPr>
        <w:spacing w:after="0" w:line="22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FURTHER RESOLVED, that for the purpose of the original issuance of the Shares in accordance with the foregoing resolutions, the Company’s transfer agent (the “</w:t>
      </w:r>
      <w:r>
        <w:rPr>
          <w:rFonts w:ascii="Arial" w:cs="Arial" w:eastAsia="Arial" w:hAnsi="Arial"/>
          <w:sz w:val="18"/>
          <w:szCs w:val="18"/>
          <w:b w:val="1"/>
          <w:bCs w:val="1"/>
          <w:color w:val="auto"/>
        </w:rPr>
        <w:t>Transfer Agent</w:t>
      </w:r>
      <w:r>
        <w:rPr>
          <w:rFonts w:ascii="Arial" w:cs="Arial" w:eastAsia="Arial" w:hAnsi="Arial"/>
          <w:sz w:val="18"/>
          <w:szCs w:val="18"/>
          <w:color w:val="auto"/>
        </w:rPr>
        <w:t>”) is hereby authorized to issue, countersign and register such certificates as may be required for such issuance and to deliver such stock certificates in accordance with the instructions of an Authorized Officer, or to cause any such Shares to be delivered through electronic book entry; and that if the Transfer Agent requires a prescribed form of preambles or resolutions relating to the foregoing, each such preamble or resolution is hereby adopted by this Pricing Committee, and the Secretary or any Assistant Secretary of the Company is hereby authorized to certify the adoption of any such preamble or resolution and to insert all such preambles and resolutions in the minute book of the Company immediately following this resolution; 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Listing of Shares on the Nasdaq</w:t>
      </w:r>
    </w:p>
    <w:p>
      <w:pPr>
        <w:spacing w:after="0" w:line="229" w:lineRule="exact"/>
        <w:rPr>
          <w:sz w:val="20"/>
          <w:szCs w:val="20"/>
          <w:color w:val="auto"/>
        </w:rPr>
      </w:pPr>
    </w:p>
    <w:p>
      <w:pPr>
        <w:jc w:val="both"/>
        <w:ind w:right="160" w:firstLine="440"/>
        <w:spacing w:after="0" w:line="264" w:lineRule="auto"/>
        <w:rPr>
          <w:sz w:val="20"/>
          <w:szCs w:val="20"/>
          <w:color w:val="auto"/>
        </w:rPr>
      </w:pPr>
      <w:r>
        <w:rPr>
          <w:rFonts w:ascii="Arial" w:cs="Arial" w:eastAsia="Arial" w:hAnsi="Arial"/>
          <w:sz w:val="18"/>
          <w:szCs w:val="18"/>
          <w:color w:val="auto"/>
        </w:rPr>
        <w:t>FURTHER RESOLVED, that the Authorized Officers, with the assistance of counsel be, and each of them hereby is, authorized and directed to take all necessary steps and do all other things necessary and appropriate to effect the listing of the Shares on the Nasdaq including, if applicable, the filing of a Notification Form for Listing of Additional Shares and the payment of any required fees; and</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40" w:top="337" w:right="279" w:bottom="1440" w:gutter="0" w:footer="0" w:header="0"/>
        </w:sectPr>
      </w:pPr>
    </w:p>
    <w:bookmarkStart w:id="27" w:name="page28"/>
    <w:bookmarkEnd w:id="27"/>
    <w:p>
      <w:pPr>
        <w:ind w:left="2"/>
        <w:spacing w:after="0"/>
        <w:rPr>
          <w:sz w:val="20"/>
          <w:szCs w:val="20"/>
          <w:color w:val="auto"/>
        </w:rPr>
      </w:pPr>
      <w:r>
        <w:rPr>
          <w:rFonts w:ascii="Arial" w:cs="Arial" w:eastAsia="Arial" w:hAnsi="Arial"/>
          <w:sz w:val="18"/>
          <w:szCs w:val="18"/>
          <w:b w:val="1"/>
          <w:bCs w:val="1"/>
          <w:u w:val="single" w:color="auto"/>
          <w:color w:val="auto"/>
        </w:rPr>
        <w:t>State Securities Laws</w:t>
      </w:r>
    </w:p>
    <w:p>
      <w:pPr>
        <w:spacing w:after="0" w:line="229" w:lineRule="exact"/>
        <w:rPr>
          <w:sz w:val="20"/>
          <w:szCs w:val="20"/>
          <w:color w:val="auto"/>
        </w:rPr>
      </w:pPr>
    </w:p>
    <w:p>
      <w:pPr>
        <w:ind w:left="2" w:right="160" w:firstLine="440"/>
        <w:spacing w:after="0" w:line="288" w:lineRule="auto"/>
        <w:rPr>
          <w:sz w:val="20"/>
          <w:szCs w:val="20"/>
          <w:color w:val="auto"/>
        </w:rPr>
      </w:pPr>
      <w:r>
        <w:rPr>
          <w:rFonts w:ascii="Arial" w:cs="Arial" w:eastAsia="Arial" w:hAnsi="Arial"/>
          <w:sz w:val="16"/>
          <w:szCs w:val="16"/>
          <w:color w:val="auto"/>
        </w:rPr>
        <w:t>FURTHER RESOLVED, that it is desirable and in the best interests of the Company that its Common Stock be qualified or registered for sale, to the extent required by law, in various states and other jurisdictions, and that the Authorized Officers are each hereby authorized and directed to determine the states and other jurisdictions in which appropriate action shall be taken to (i) qualify or register for sale all or such part of such Common Stock and</w:t>
      </w:r>
    </w:p>
    <w:p>
      <w:pPr>
        <w:ind w:left="2" w:hanging="2"/>
        <w:spacing w:after="0" w:line="269" w:lineRule="auto"/>
        <w:tabs>
          <w:tab w:leader="none" w:pos="2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register the Company as a dealer or broker; that the Authorized Officers be, and hereby are, authorized to perform on behalf of the Company any and all such acts as the officer so acting may deem necessary or advisable in order to comply with the applicable laws of any such states and other jurisdictions, and in connection therewith to execute, affix the Company’s seal to and file all requisite papers and documents, including, without limitation, applications, resolutions, reports, surety bonds, irrevocable consents and appointments of attorneys for service of process; and that execution by any of the Authorized Officers of any such paper or document or the doing by any of the Authorized Officers of any act in connection with the foregoing matters shall conclusively establish the authority of the officers so acting therefor from the Company and the approval and ratification by the Company of the papers and documents so executed and the action so taken; and</w:t>
      </w:r>
    </w:p>
    <w:p>
      <w:pPr>
        <w:spacing w:after="0" w:line="181" w:lineRule="exact"/>
        <w:rPr>
          <w:sz w:val="20"/>
          <w:szCs w:val="20"/>
          <w:color w:val="auto"/>
        </w:rPr>
      </w:pPr>
    </w:p>
    <w:p>
      <w:pPr>
        <w:ind w:left="2" w:right="40" w:firstLine="440"/>
        <w:spacing w:after="0" w:line="273" w:lineRule="auto"/>
        <w:rPr>
          <w:sz w:val="20"/>
          <w:szCs w:val="20"/>
          <w:color w:val="auto"/>
        </w:rPr>
      </w:pPr>
      <w:r>
        <w:rPr>
          <w:rFonts w:ascii="Arial" w:cs="Arial" w:eastAsia="Arial" w:hAnsi="Arial"/>
          <w:sz w:val="17"/>
          <w:szCs w:val="17"/>
          <w:color w:val="auto"/>
        </w:rPr>
        <w:t>FURTHER RESOLVED, that if the securities or “blue sky” laws of any of the states or other jurisdictions in which any of the Authorized Officers deem it necessary or advisable to qualify or register for sale all or part of the Common Stock or to register the Company as a dealer or broker, or any authority administering such laws, requires a prescribed form of preambles or resolutions relating to such sale or to any application, statement, instrument or other document connected therewith, each such preamble or resolution is hereby adopted by this Pricing Committee, and the Secretary or any Assistant Secretary of the Company is hereby authorized to certify the adoption of any such preamble or resolution to any party who may so request and to insert all such preambles and resolutions in the minute book of the Company immediately following these resolutions; and</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8"/>
          <w:szCs w:val="18"/>
          <w:b w:val="1"/>
          <w:bCs w:val="1"/>
          <w:u w:val="single" w:color="auto"/>
          <w:color w:val="auto"/>
        </w:rPr>
        <w:t>Approval of Actions</w:t>
      </w:r>
    </w:p>
    <w:p>
      <w:pPr>
        <w:spacing w:after="0" w:line="229" w:lineRule="exact"/>
        <w:rPr>
          <w:sz w:val="20"/>
          <w:szCs w:val="20"/>
          <w:color w:val="auto"/>
        </w:rPr>
      </w:pPr>
    </w:p>
    <w:p>
      <w:pPr>
        <w:ind w:left="2" w:right="20" w:firstLine="440"/>
        <w:spacing w:after="0" w:line="264" w:lineRule="auto"/>
        <w:rPr>
          <w:sz w:val="20"/>
          <w:szCs w:val="20"/>
          <w:color w:val="auto"/>
        </w:rPr>
      </w:pPr>
      <w:r>
        <w:rPr>
          <w:rFonts w:ascii="Arial" w:cs="Arial" w:eastAsia="Arial" w:hAnsi="Arial"/>
          <w:sz w:val="18"/>
          <w:szCs w:val="18"/>
          <w:color w:val="auto"/>
        </w:rPr>
        <w:t>FURTHER RESOLVED, that the Company be and hereby is authorized to enter into any and all amendments to its agreements with, or obtain any and all waivers from, (i) the holders of any outstanding securities of the Company and (ii) any other entity, as may be necessary or desirable to effectuate the events and transactions contemplated by these resolutions; and</w:t>
      </w:r>
    </w:p>
    <w:p>
      <w:pPr>
        <w:spacing w:after="0" w:line="181" w:lineRule="exact"/>
        <w:rPr>
          <w:sz w:val="20"/>
          <w:szCs w:val="20"/>
          <w:color w:val="auto"/>
        </w:rPr>
      </w:pPr>
    </w:p>
    <w:p>
      <w:pPr>
        <w:jc w:val="both"/>
        <w:ind w:left="2" w:right="380" w:firstLine="440"/>
        <w:spacing w:after="0" w:line="286" w:lineRule="auto"/>
        <w:rPr>
          <w:sz w:val="20"/>
          <w:szCs w:val="20"/>
          <w:color w:val="auto"/>
        </w:rPr>
      </w:pPr>
      <w:r>
        <w:rPr>
          <w:rFonts w:ascii="Arial" w:cs="Arial" w:eastAsia="Arial" w:hAnsi="Arial"/>
          <w:sz w:val="17"/>
          <w:szCs w:val="17"/>
          <w:color w:val="auto"/>
        </w:rPr>
        <w:t>FURTHER RESOLVED, that, without limiting the foregoing, the Authorized Officers are, and each of them hereby is, authorized and directed to proceed on behalf of the Company and to take all such steps as deemed necessary or appropriate, with the advice and assistance of counsel, to cause the Company to consummate the agreements referred to herein and to perform its obligations under such agreements; and</w:t>
      </w:r>
    </w:p>
    <w:p>
      <w:pPr>
        <w:spacing w:after="0" w:line="166" w:lineRule="exact"/>
        <w:rPr>
          <w:sz w:val="20"/>
          <w:szCs w:val="20"/>
          <w:color w:val="auto"/>
        </w:rPr>
      </w:pPr>
    </w:p>
    <w:p>
      <w:pPr>
        <w:ind w:left="2" w:right="20" w:firstLine="440"/>
        <w:spacing w:after="0" w:line="273" w:lineRule="auto"/>
        <w:rPr>
          <w:sz w:val="20"/>
          <w:szCs w:val="20"/>
          <w:color w:val="auto"/>
        </w:rPr>
      </w:pPr>
      <w:r>
        <w:rPr>
          <w:rFonts w:ascii="Arial" w:cs="Arial" w:eastAsia="Arial" w:hAnsi="Arial"/>
          <w:sz w:val="17"/>
          <w:szCs w:val="17"/>
          <w:color w:val="auto"/>
        </w:rPr>
        <w:t>FURTHER RESOLVED, that the Authorized Officers be, and each of them hereby is, authorized, empowered and directed on behalf of and in the name of the Company, to take or cause to be taken all such further actions and to execute and deliver or cause to be executed and delivered all such further agreements, amendments, documents, certificates, reports, schedules, applications, notices, letters and undertakings and to incur and pay all such fees and expenses as in their judgment shall be necessary, proper or desirable to carry into effect the purpose and intent of any and all of the foregoing resolutions, and that all actions heretofore taken by any officer or director of the Company in connection with the transactions contemplated by the agreements described herein are hereby approved, ratified and confirmed in all respects.</w:t>
      </w:r>
    </w:p>
    <w:p>
      <w:pPr>
        <w:spacing w:after="0" w:line="178" w:lineRule="exact"/>
        <w:rPr>
          <w:sz w:val="20"/>
          <w:szCs w:val="20"/>
          <w:color w:val="auto"/>
        </w:rPr>
      </w:pPr>
    </w:p>
    <w:p>
      <w:pPr>
        <w:jc w:val="center"/>
        <w:ind w:right="78"/>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2"/>
          </w:cols>
          <w:pgMar w:left="338" w:top="337" w:right="259" w:bottom="1440" w:gutter="0" w:footer="0" w:header="0"/>
        </w:sectPr>
      </w:pPr>
    </w:p>
    <w:bookmarkStart w:id="28" w:name="page29"/>
    <w:bookmarkEnd w:id="28"/>
    <w:p>
      <w:pPr>
        <w:jc w:val="right"/>
        <w:ind w:right="3559"/>
        <w:spacing w:after="0"/>
        <w:rPr>
          <w:sz w:val="20"/>
          <w:szCs w:val="20"/>
          <w:color w:val="auto"/>
        </w:rPr>
      </w:pPr>
      <w:r>
        <w:rPr>
          <w:rFonts w:ascii="Arial" w:cs="Arial" w:eastAsia="Arial" w:hAnsi="Arial"/>
          <w:sz w:val="18"/>
          <w:szCs w:val="18"/>
          <w:i w:val="1"/>
          <w:iCs w:val="1"/>
          <w:color w:val="auto"/>
        </w:rPr>
        <w:t>[Signature page to follow]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7, 2019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Lisa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Jonathan B.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Provides Fourth Quarter 2018 Commercial Sales Updates</w:t>
      </w:r>
    </w:p>
    <w:p>
      <w:pPr>
        <w:spacing w:after="0" w:line="22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Napo Pharmaceuticals, Inc., Jaguar’s Wholly-owned Human Health Subsidiary, Expected to Achieve 40% Net Sales Growth for Mytesi</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(Crofelemer) in Q4’18 Versus Q3’18</w:t>
      </w:r>
    </w:p>
    <w:p>
      <w:pPr>
        <w:spacing w:after="0" w:line="6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SAN FRANCISCO, CA / January 7, 2019 / </w:t>
      </w:r>
      <w:r>
        <w:rPr>
          <w:rFonts w:ascii="Arial" w:cs="Arial" w:eastAsia="Arial" w:hAnsi="Arial"/>
          <w:sz w:val="18"/>
          <w:szCs w:val="18"/>
          <w:color w:val="auto"/>
        </w:rPr>
        <w:t>Jaguar Health, Inc. (NASDAQ: JAGX) (“Jaguar” or the “Company”), a commercial stage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developing novel, sustainably derived gastrointestinal products on a global basis, announced Commercial Sales updates today for the fourth quarter ended December 31,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health commercial highlights for the three-month period ended December 31, 2018:</w:t>
      </w:r>
    </w:p>
    <w:p>
      <w:pPr>
        <w:spacing w:after="0" w:line="229"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Mytesi net sales in Q4’18 expected to exceed Q3’18 net sales by 40%</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Mytesi gross sales in Q4’18 expected to exceed Q3’18 gross sales by 37%</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Q4’18 Mytesi gross and net sales expected to exceed Q4’17 gross and net sales by approximately 136% and approximately 123%, respectively</w:t>
      </w:r>
    </w:p>
    <w:p>
      <w:pPr>
        <w:spacing w:after="0" w:line="22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Although financial figures for the fourth quarter of 2018 have not yet been audited, the Company expects Mytesi gross sales for the fourth quarter to be approximately $2.18 million, and Mytesi net sales to be approximately $1.55 million, representing growth of 37% and 40% in gross and net sales respectively compared to the third quarter of 2018, and an acceleration of the increase of 36% and 28% of gross and net sales respectively that Jaguar achieved in the third quarter of 2018 over the second quarter of 2018. Overall, annual gross sales for 2018 are expected to be approximately $5.726 million, and annual Mytesi net sales for 2018 are expected to be approximately $4.0 million.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Compared to the fourth quarter of 2017, Mytesi gross and net sales increased approximately 136% and approximately 123% respectively in the fourth quarter of 2018. Mytesi gross sales are reduced by Medicare, ADAP, 340B chargebacks, returns, and wholesale distribution fees based on historical trends to determine the estimated net sales.</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Mytesi prescription volume, which is the combination of new prescriptions and refills, as reported by IQVIA, grew 19.8% in October and November of 2018 versus the prior two-month period, and increased 122% over the same two-month period last year.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we’re not providing guidance for 2019 at this time, our consistent and encouraging quarter-on-quarter growth indicates the likelihood of meaningfully greater sales this year and, importantly, increasing medically-appropriate utilization of Mytesi in the patient population,” Lisa Conte, Jaguar’s president and chief executive officer, commented. “The policies and processes we’ve established that underpin these results remain in place and are clearly working. Additionally, we are very encouraged by the fact that our results are catching the eye of Wall Street, as exemplified by the initiation of coverage of Jaguar by Dawson James Securities last week.”</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will report full financial, operational and pipeline development updates for the fourth quarter of 2018 after the Company’s annual report on Form 10-K for the year ended December 31, 2018 has been filed with the Securities and Exchange Commission. The Company expects to file its Form 10-K in mid-February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Regarding Use of Non-GAAP Measures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Gross sales percentages issued by the Company are based on gross sales figures that represent Mytesi orders placed by wholesalers with Jaguar’s third-party logistics warehouse which generate invoiced sales and cashflow for Napo. Gross sales is used internally by management as an indicator of and to monitor operating performance, including sales performance of Mytesi, salesperson performance, and product growth or declines. The Company believes that the presentation of gross sales provides a closer to real-time useful measure of our operating performance. Gross sales is not a measure that is recognized under accounting principles generally accepted in the United States of America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the Company’s internal reporting practices. In addition, gross sales may not be realized in the form of cash receipts as promotional payments and allowances may be deducted from payments received from certain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Mytesi</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Mytesi (crofelemer) is an antidiarrheal indicated for the symptomatic relief of noninfectious diarrhea in adult patients with HIV/AIDS on antiretroviral therapy (ART). Mytesi is not indicated for the treatment of infectious diarrhea. Rule out infectious etiologies of diarrhea before starting Mytesi. If infectious etiologies are not considered, there is a risk that patients with infectious etiologies will not receive the appropriate therapy and their disease may worsen. In clinical studies, the most common adverse reactions occurring at a rate greater than placebo were upper respiratory tract infection (5.7%), bronchitis (3.9%), cough (3.5%), flatulence (3.1%), and increased bilirubin (3.1%).</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See full Prescribing Information at Mytesi.com. Crofelemer, the active ingredient in Mytesi, is a botanical (plant-based) drug extracted and purified from the red bark sap of the medicinal </w:t>
      </w:r>
      <w:r>
        <w:rPr>
          <w:rFonts w:ascii="Arial" w:cs="Arial" w:eastAsia="Arial" w:hAnsi="Arial"/>
          <w:sz w:val="18"/>
          <w:szCs w:val="18"/>
          <w:i w:val="1"/>
          <w:iCs w:val="1"/>
          <w:color w:val="auto"/>
        </w:rPr>
        <w:t>Croton lechleri</w:t>
      </w:r>
      <w:r>
        <w:rPr>
          <w:rFonts w:ascii="Arial" w:cs="Arial" w:eastAsia="Arial" w:hAnsi="Arial"/>
          <w:sz w:val="18"/>
          <w:szCs w:val="18"/>
          <w:color w:val="auto"/>
        </w:rPr>
        <w:t xml:space="preserve"> tree in the Amazon rainforest. Napo has established a sustainable harvesting program for crofelemer to ensure a high degree of quality and ecological integrity.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Jaguar Health, Inc.</w:t>
      </w:r>
    </w:p>
    <w:p>
      <w:pPr>
        <w:spacing w:after="0" w:line="22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Jaguar Health, Inc. is a commercial stage pharmaceuticals company focused on developing novel, sustainably derived gastrointestinal products on a global basis. Our wholly-owned subsidiary, Napo Pharmaceuticals, Inc., focuses on developing and commercializing proprietary human gastrointestinal pharmaceuticals for the global marketplace from plants used traditionally in rainforest areas. Our Mytesi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(crofelemer) product is approved by the U.S. FDA for the symptomatic relief of noninfectious diarrhea in adults with HIV/AIDS on antiretroviral therapy.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Jaguar, please visit jaguar.health. For more information about Napo, visit napopharma.com.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Certain statements in this press release constitute “forward-looking statements.” These include statements regarding expected gross and net sales of Mytesi in the fourth quarter of 2018, and the expectation that the Company will file its Form 10-K in mid-February of 2019 for the year ended December 31, 2018.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a number of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Source: Jaguar Health,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Peter Hodge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Jaguar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phodge@jaguar.health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Jaguar-JAGX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lowerRoman"/>
      <w:start w:val="10"/>
    </w:lvl>
  </w:abstractNum>
  <w:abstractNum w:abstractNumId="2">
    <w:nsid w:val="333AB105"/>
    <w:multiLevelType w:val="hybridMultilevel"/>
    <w:lvl w:ilvl="0">
      <w:lvlJc w:val="left"/>
      <w:lvlText w:val="%1."/>
      <w:numFmt w:val="lowerRoman"/>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lvl w:ilvl="1">
      <w:lvlJc w:val="left"/>
      <w:lvlText w:val="(%2)"/>
      <w:numFmt w:val="lowerLetter"/>
      <w:start w:val="1"/>
    </w:lvl>
  </w:abstractNum>
  <w:abstractNum w:abstractNumId="5">
    <w:nsid w:val="2D1D5AE9"/>
    <w:multiLevelType w:val="hybridMultilevel"/>
    <w:lvl w:ilvl="0">
      <w:lvlJc w:val="left"/>
      <w:lvlText w:val="(%1)"/>
      <w:numFmt w:val="decimal"/>
      <w:start w:val="10"/>
    </w:lvl>
    <w:lvl w:ilvl="1">
      <w:lvlJc w:val="left"/>
      <w:lvlText w:val="%2"/>
      <w:numFmt w:val="lowerLetter"/>
      <w:start w:val="1"/>
    </w:lvl>
  </w:abstractNum>
  <w:abstractNum w:abstractNumId="6">
    <w:nsid w:val="6763845E"/>
    <w:multiLevelType w:val="hybridMultilevel"/>
    <w:lvl w:ilvl="0">
      <w:lvlJc w:val="left"/>
      <w:lvlText w:val="(%1)"/>
      <w:numFmt w:val="decimal"/>
      <w:start w:val="3"/>
    </w:lvl>
    <w:lvl w:ilvl="1">
      <w:lvlJc w:val="left"/>
      <w:lvlText w:val="(%2)"/>
      <w:numFmt w:val="lowerLetter"/>
      <w:start w:val="3"/>
    </w:lvl>
  </w:abstractNum>
  <w:abstractNum w:abstractNumId="7">
    <w:nsid w:val="75A2A8D4"/>
    <w:multiLevelType w:val="hybridMultilevel"/>
    <w:lvl w:ilvl="0">
      <w:lvlJc w:val="left"/>
      <w:lvlText w:val="(%1)"/>
      <w:numFmt w:val="lowerLetter"/>
      <w:start w:val="4"/>
    </w:lvl>
    <w:lvl w:ilvl="1">
      <w:lvlJc w:val="left"/>
      <w:lvlText w:val="(%2)"/>
      <w:numFmt w:val="lowerLetter"/>
      <w:start w:val="10"/>
    </w:lvl>
  </w:abstractNum>
  <w:abstractNum w:abstractNumId="8">
    <w:nsid w:val="8EDBDAB"/>
    <w:multiLevelType w:val="hybridMultilevel"/>
    <w:lvl w:ilvl="0">
      <w:lvlJc w:val="left"/>
      <w:lvlText w:val="%1."/>
      <w:numFmt w:val="decimal"/>
      <w:start w:val="2"/>
    </w:lvl>
  </w:abstractNum>
  <w:abstractNum w:abstractNumId="9">
    <w:nsid w:val="79838CB2"/>
    <w:multiLevelType w:val="hybridMultilevel"/>
    <w:lvl w:ilvl="0">
      <w:lvlJc w:val="left"/>
      <w:lvlText w:val="(%1)"/>
      <w:numFmt w:val="lowerLetter"/>
      <w:start w:val="1"/>
    </w:lvl>
    <w:lvl w:ilvl="1">
      <w:lvlJc w:val="left"/>
      <w:lvlText w:val="(%2)"/>
      <w:numFmt w:val="lowerLetter"/>
      <w:start w:val="9"/>
    </w:lvl>
  </w:abstractNum>
  <w:abstractNum w:abstractNumId="10">
    <w:nsid w:val="4353D0CD"/>
    <w:multiLevelType w:val="hybridMultilevel"/>
    <w:lvl w:ilvl="0">
      <w:lvlJc w:val="left"/>
      <w:lvlText w:val="%1."/>
      <w:numFmt w:val="decimal"/>
      <w:start w:val="3"/>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lowerLetter"/>
      <w:start w:val="4"/>
    </w:lvl>
    <w:lvl w:ilvl="1">
      <w:lvlJc w:val="left"/>
      <w:lvlText w:val="(%2)"/>
      <w:numFmt w:val="lowerLetter"/>
      <w:start w:val="5"/>
    </w:lvl>
  </w:abstractNum>
  <w:abstractNum w:abstractNumId="13">
    <w:nsid w:val="54E49EB4"/>
    <w:multiLevelType w:val="hybridMultilevel"/>
    <w:lvl w:ilvl="0">
      <w:lvlJc w:val="left"/>
      <w:lvlText w:val="%1"/>
      <w:numFmt w:val="lowerLetter"/>
      <w:start w:val="1"/>
    </w:lvl>
    <w:lvl w:ilvl="1">
      <w:lvlJc w:val="left"/>
      <w:lvlText w:val="(%2)"/>
      <w:numFmt w:val="lowerLetter"/>
      <w:start w:val="6"/>
    </w:lvl>
  </w:abstractNum>
  <w:abstractNum w:abstractNumId="14">
    <w:nsid w:val="71F32454"/>
    <w:multiLevelType w:val="hybridMultilevel"/>
    <w:lvl w:ilvl="0">
      <w:lvlJc w:val="left"/>
      <w:lvlText w:val="(%1)"/>
      <w:numFmt w:val="lowerLetter"/>
      <w:start w:val="8"/>
    </w:lvl>
    <w:lvl w:ilvl="1">
      <w:lvlJc w:val="left"/>
      <w:lvlText w:val="%2"/>
      <w:numFmt w:val="lowerLetter"/>
      <w:start w:val="1"/>
    </w:lvl>
  </w:abstractNum>
  <w:abstractNum w:abstractNumId="15">
    <w:nsid w:val="2CA88611"/>
    <w:multiLevelType w:val="hybridMultilevel"/>
    <w:lvl w:ilvl="0">
      <w:lvlJc w:val="left"/>
      <w:lvlText w:val="(%1)"/>
      <w:numFmt w:val="lowerLetter"/>
      <w:start w:val="9"/>
    </w:lvl>
  </w:abstractNum>
  <w:abstractNum w:abstractNumId="16">
    <w:nsid w:val="836C40E"/>
    <w:multiLevelType w:val="hybridMultilevel"/>
    <w:lvl w:ilvl="0">
      <w:lvlJc w:val="left"/>
      <w:lvlText w:val="%1"/>
      <w:numFmt w:val="decimal"/>
      <w:start w:val="1"/>
    </w:lvl>
    <w:lvl w:ilvl="1">
      <w:lvlJc w:val="left"/>
      <w:lvlText w:val="(%2)"/>
      <w:numFmt w:val="lowerLetter"/>
      <w:start w:val="14"/>
    </w:lvl>
  </w:abstractNum>
  <w:abstractNum w:abstractNumId="17">
    <w:nsid w:val="2901D82"/>
    <w:multiLevelType w:val="hybridMultilevel"/>
    <w:lvl w:ilvl="0">
      <w:lvlJc w:val="left"/>
      <w:lvlText w:val="%1."/>
      <w:numFmt w:val="decimal"/>
      <w:start w:val="4"/>
    </w:lvl>
    <w:lvl w:ilvl="1">
      <w:lvlJc w:val="left"/>
      <w:lvlText w:val="(%2)"/>
      <w:numFmt w:val="lowerLetter"/>
      <w:start w:val="1"/>
    </w:lvl>
  </w:abstractNum>
  <w:abstractNum w:abstractNumId="18">
    <w:nsid w:val="3A95F874"/>
    <w:multiLevelType w:val="hybridMultilevel"/>
    <w:lvl w:ilvl="0">
      <w:lvlJc w:val="left"/>
      <w:lvlText w:val="(%1)"/>
      <w:numFmt w:val="lowerLetter"/>
      <w:start w:val="9"/>
    </w:lvl>
    <w:lvl w:ilvl="1">
      <w:lvlJc w:val="left"/>
      <w:lvlText w:val="(%2)"/>
      <w:numFmt w:val="lowerLetter"/>
      <w:start w:val="2"/>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decimal"/>
      <w:start w:val="7"/>
    </w:lvl>
  </w:abstractNum>
  <w:abstractNum w:abstractNumId="23">
    <w:nsid w:val="6CEAF087"/>
    <w:multiLevelType w:val="hybridMultilevel"/>
    <w:lvl w:ilvl="0">
      <w:lvlJc w:val="left"/>
      <w:lvlText w:val="(%1)"/>
      <w:numFmt w:val="lowerLetter"/>
      <w:start w:val="1"/>
    </w:lvl>
    <w:lvl w:ilvl="1">
      <w:lvlJc w:val="left"/>
      <w:lvlText w:val="(%2)"/>
      <w:numFmt w:val="lowerLetter"/>
      <w:start w:val="2"/>
    </w:lvl>
  </w:abstractNum>
  <w:abstractNum w:abstractNumId="24">
    <w:nsid w:val="22221A70"/>
    <w:multiLevelType w:val="hybridMultilevel"/>
    <w:lvl w:ilvl="0">
      <w:lvlJc w:val="left"/>
      <w:lvlText w:val="%1"/>
      <w:numFmt w:val="decimal"/>
      <w:start w:val="1"/>
    </w:lvl>
    <w:lvl w:ilvl="1">
      <w:lvlJc w:val="left"/>
      <w:lvlText w:val="(%2)"/>
      <w:numFmt w:val="lowerLetter"/>
      <w:start w:val="6"/>
    </w:lvl>
  </w:abstractNum>
  <w:abstractNum w:abstractNumId="25">
    <w:nsid w:val="4516DDE9"/>
    <w:multiLevelType w:val="hybridMultilevel"/>
    <w:lvl w:ilvl="0">
      <w:lvlJc w:val="left"/>
      <w:lvlText w:val="%1."/>
      <w:numFmt w:val="decimal"/>
      <w:start w:val="8"/>
    </w:lvl>
    <w:lvl w:ilvl="1">
      <w:lvlJc w:val="left"/>
      <w:lvlText w:val="%2"/>
      <w:numFmt w:val="lowerLetter"/>
      <w:start w:val="1"/>
    </w:lvl>
  </w:abstractNum>
  <w:abstractNum w:abstractNumId="26">
    <w:nsid w:val="3006C83E"/>
    <w:multiLevelType w:val="hybridMultilevel"/>
    <w:lvl w:ilvl="0">
      <w:lvlJc w:val="left"/>
      <w:lvlText w:val="%1."/>
      <w:numFmt w:val="decimal"/>
      <w:start w:val="9"/>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31">
    <w:nsid w:val="5072367"/>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32">
    <w:nsid w:val="3804823E"/>
    <w:multiLevelType w:val="hybridMultilevel"/>
    <w:lvl w:ilvl="0">
      <w:lvlJc w:val="left"/>
      <w:lvlText w:val="(%1)"/>
      <w:numFmt w:val="lowerLetter"/>
      <w:start w:val="3"/>
    </w:lvl>
    <w:lvl w:ilvl="1">
      <w:lvlJc w:val="left"/>
      <w:lvlText w:val="(%2)"/>
      <w:numFmt w:val="lowerLetter"/>
      <w:start w:val="5"/>
    </w:lvl>
  </w:abstractNum>
  <w:abstractNum w:abstractNumId="33">
    <w:nsid w:val="77465F01"/>
    <w:multiLevelType w:val="hybridMultilevel"/>
    <w:lvl w:ilvl="0">
      <w:lvlJc w:val="left"/>
      <w:lvlText w:val="(%1)"/>
      <w:numFmt w:val="lowerLetter"/>
      <w:start w:val="9"/>
    </w:lvl>
  </w:abstractNum>
  <w:abstractNum w:abstractNumId="34">
    <w:nsid w:val="7724C67E"/>
    <w:multiLevelType w:val="hybridMultilevel"/>
    <w:lvl w:ilvl="0">
      <w:lvlJc w:val="left"/>
      <w:lvlText w:val="(%1)"/>
      <w:numFmt w:val="lowerLetter"/>
      <w:start w:val="12"/>
    </w:lvl>
    <w:lvl w:ilvl="1">
      <w:lvlJc w:val="left"/>
      <w:lvlText w:val="(%2)"/>
      <w:numFmt w:val="lowerLetter"/>
      <w:start w:val="13"/>
    </w:lvl>
    <w:lvl w:ilvl="2">
      <w:lvlJc w:val="left"/>
      <w:lvlText w:val="(%3)"/>
      <w:numFmt w:val="lowerRoman"/>
      <w:start w:val="1"/>
    </w:lvl>
  </w:abstractNum>
  <w:abstractNum w:abstractNumId="35">
    <w:nsid w:val="5C482A97"/>
    <w:multiLevelType w:val="hybridMultilevel"/>
    <w:lvl w:ilvl="0">
      <w:lvlJc w:val="left"/>
      <w:lvlText w:val="(%1)"/>
      <w:numFmt w:val="lowerLetter"/>
      <w:start w:val="1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lowerRoman"/>
      <w:start w:val="2"/>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2019-12-28T17:13:58Z</dcterms:created>
  <dcterms:modified xsi:type="dcterms:W3CDTF">2019-12-28T17:13:58Z</dcterms:modified>
</cp:coreProperties>
</file>