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Jaguar 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46-2956775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 Pine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94104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371-8300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May 27, 2026, Jaguar Health, Inc. (the “Company”) issued a press release announcing the Decision Letter (as defined below) from the Nasdaq Hearings Panel, a copy of which is furnished as Exhibit 99.1.</w:t>
      </w:r>
    </w:p>
    <w:p>
      <w:pPr>
        <w:spacing w:after="0" w:line="162"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information in Exhibit 99.1 attached hereto shall not be deemed “filed” for purposes of Section 18 of the Securities Exchange Act of 1934, as amended (the “Exchange Act”), or otherwise subject to the liabilities of that Section, or incorporated by reference into any of the Company’s filings under the Securities Act of 1933, as amended, or the Exchange Act, except as shall be expressly set forth by specific reference in any such filing.</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disclosed, on April 24, 2026, the Company received formal notice that the Nasdaq Hearings Panel (“Panel”) had granted the Company’s request for continued listing on The Nasdaq Stock Market LLC (“Nasdaq”), subject to the condition that the Company demonstrate compliance with Nasdaq Listing Rule 5550(a)(2) (the “Bid Price Rule”) by May 15, 2026. On May 6, 2026, the Company received a superseding decision from the Panel granting the Company’s request for an extension to demonstrate compliance with the Bid Price Rule, from May 15, 2026, to May 18, 2026.</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May 26, 2026, the Company was formally notified by Nasdaq that the Company had regained compliance with the Bid Price Rule (the “Compliance Determination”) but that the Panel would maintain jurisdiction over the Company and its listing until September 1, 2026, the outside date of the Panel’s discretion in this matter.</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Compliance Determination further stated that, in accordance with Listing Rule 5815(d)(4)(B), the Company is subject to a Mandatory Panel Monitor for a period of one year from the date of the Compliance Determination, or May 26, 2027. If within the one-year monitoring period Nasdaq determines that the Company has failed to evidence a closing bid price of at least $1.00 per share for 30 consecutive business days, the Company will not be afforded a 180-day grace period otherwise automatically available under Listing Rule 5810(c)(3). Rather, Nasdaq would issue a delist determination, at which time the Company may request a new hearing before the Panel. The Company’s request for a hearing would stay any further action by Nasdaq at least pending the hearing and the expiration of any extension period that may be granted by the Panel following such hearing.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Section 27A of the Securities Act of 1933 and</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Section 21E of the Securities Exchange Act of 1934.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December 31, 2025,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assumes no obligation to update any forward-looking statement.</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27,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Lisa A. Conte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6306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Jaguar Health Compliant with Nasdaq Bid Price Rule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JAGX’s securities continue to be listed and traded on Nasdaq</w:t>
      </w:r>
    </w:p>
    <w:p>
      <w:pPr>
        <w:spacing w:after="0" w:line="22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FRANCISCO, CA / May 27, 2026 / </w:t>
      </w:r>
      <w:r>
        <w:rPr>
          <w:rFonts w:ascii="Times New Roman" w:cs="Times New Roman" w:eastAsia="Times New Roman" w:hAnsi="Times New Roman"/>
          <w:sz w:val="18"/>
          <w:szCs w:val="18"/>
          <w:u w:val="single" w:color="auto"/>
          <w:color w:val="auto"/>
        </w:rPr>
        <w:t>Jaguar Health, Inc. (NASDAQ: JAGX</w:t>
      </w:r>
      <w:r>
        <w:rPr>
          <w:rFonts w:ascii="Times New Roman" w:cs="Times New Roman" w:eastAsia="Times New Roman" w:hAnsi="Times New Roman"/>
          <w:sz w:val="18"/>
          <w:szCs w:val="18"/>
          <w:color w:val="auto"/>
        </w:rPr>
        <w:t>) (“Jaguar” or the “Company”) today announced that on May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the Company received formal notice from The Nasdaq Stock Market LLC (“Nasdaq”) that Jaguar has regained compliance with Nasdaq Listing Rule 5550(a)(2) (the “Bid Price Rule”).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are very happy that Jaguar has regained compliance with the Nasdaq listing criteria. We consider our Nasdaq listing an asset of the Company,” said Lisa Conte, Jaguar’s president and CEO. “As we were pleased to </w:t>
      </w:r>
      <w:r>
        <w:rPr>
          <w:rFonts w:ascii="Times New Roman" w:cs="Times New Roman" w:eastAsia="Times New Roman" w:hAnsi="Times New Roman"/>
          <w:sz w:val="18"/>
          <w:szCs w:val="18"/>
          <w:b w:val="1"/>
          <w:bCs w:val="1"/>
          <w:u w:val="single" w:color="auto"/>
          <w:color w:val="auto"/>
        </w:rPr>
        <w:t>report</w:t>
      </w:r>
      <w:r>
        <w:rPr>
          <w:rFonts w:ascii="Times New Roman" w:cs="Times New Roman" w:eastAsia="Times New Roman" w:hAnsi="Times New Roman"/>
          <w:sz w:val="18"/>
          <w:szCs w:val="18"/>
          <w:color w:val="auto"/>
        </w:rPr>
        <w:t xml:space="preserve"> on May 20, 2026, Jaguar’s net revenue increased 816% in Q1 2026 versus Q1 2025, and increased 527% in Q1 2026 over the previous quarter, Q4 2025, buoyed by the US out-license agreement we executed with Future Pak for Mytesi and Canalevia-CA1 this past January. We continue to sharply focus on our pivotal-stage development program for our novel proprietary powder-for-oral-solution formulation of crofelemer for rare intestinal failure indications, targeting an NDA in mid-2027, and on identifying a development and commercialization partner for this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Certain statements in this press release constitute “forward-looking statements.”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Jaguar has based these forward-looking statements largely on its current expectations and projections about future events. These forward-looking statements speak only as of the date of this release and are subject to several risks, uncertainties, and assumptions, some of which cannot be predicted or quantified and some of which are beyond Jaguar’s control. Except as required by applicable law, Jaguar does not plan to publicly update or revise any forward-looking statements contained herein, whether as a result of any new information, future events, changed circumstances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Jaguar Health,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hello@jaguar.health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Jaguar-JAGX</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2026-05-27T08:15:56Z</dcterms:created>
  <dcterms:modified xsi:type="dcterms:W3CDTF">2026-05-27T08:15:56Z</dcterms:modified>
</cp:coreProperties>
</file>