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Jaguar Animal Health,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No. 001-36714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425 Under the Securities Act of 1933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And Deemed Filed Pursuant to Rule 14a-12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Under 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Napo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233045</wp:posOffset>
            </wp:positionV>
            <wp:extent cx="7267575" cy="5859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585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449" w:right="2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252095</wp:posOffset>
            </wp:positionH>
            <wp:positionV relativeFrom="page">
              <wp:posOffset>88900</wp:posOffset>
            </wp:positionV>
            <wp:extent cx="7066280" cy="546290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28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2019-12-16T22:04:28Z</dcterms:created>
  <dcterms:modified xsi:type="dcterms:W3CDTF">2019-12-16T22:04:28Z</dcterms:modified>
</cp:coreProperties>
</file>