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765dpre14a.htm"/>
      <w:bookmarkStart w:id="1" w:name="ksd165765dpre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z w:val="24"/>
        </w:rPr>
      </w:pPr>
      <w:r>
        <w:rPr>
          <w:rFonts w:ascii="Times New Roman" w:hAnsi="Times New Roman"/>
          <w:b/>
          <w:sz w:val="24"/>
        </w:rPr>
        <w:t>14a-101)</w:t>
      </w:r>
    </w:p>
    <w:p>
      <w:pPr>
        <w:pStyle w:val="TextBody"/>
        <w:bidi w:val="0"/>
        <w:spacing w:before="24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JAGUAR HEALTH, INC.</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pPr>
      <w:r>
        <w:rPr/>
        <w:drawing>
          <wp:inline distT="0" distB="0" distL="0" distR="0">
            <wp:extent cx="4239260" cy="11182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823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200 Pine Street, Suite 400, San Francisco, CA 94104 </w:t>
      </w:r>
    </w:p>
    <w:p>
      <w:pPr>
        <w:pStyle w:val="TextBody"/>
        <w:bidi w:val="0"/>
        <w:spacing w:before="0" w:after="0"/>
        <w:jc w:val="center"/>
        <w:rPr>
          <w:rFonts w:ascii="Times New Roman" w:hAnsi="Times New Roman"/>
          <w:sz w:val="20"/>
        </w:rPr>
      </w:pPr>
      <w:r>
        <w:rPr>
          <w:rFonts w:ascii="Times New Roman" w:hAnsi="Times New Roman"/>
          <w:sz w:val="20"/>
        </w:rPr>
        <w:t xml:space="preserve">Tel: 415.371.8300 ● Fax: 415.371.8311 </w:t>
      </w:r>
    </w:p>
    <w:p>
      <w:pPr>
        <w:pStyle w:val="TextBody"/>
        <w:bidi w:val="0"/>
        <w:spacing w:before="0" w:after="0"/>
        <w:jc w:val="center"/>
        <w:rPr>
          <w:rFonts w:ascii="Times New Roman" w:hAnsi="Times New Roman"/>
          <w:sz w:val="20"/>
        </w:rPr>
      </w:pPr>
      <w:r>
        <w:rPr>
          <w:rFonts w:ascii="Times New Roman" w:hAnsi="Times New Roman"/>
          <w:sz w:val="20"/>
        </w:rPr>
        <w:t xml:space="preserve">https://jaguar.health </w:t>
      </w:r>
    </w:p>
    <w:p>
      <w:pPr>
        <w:pStyle w:val="TextBody"/>
        <w:bidi w:val="0"/>
        <w:spacing w:before="120" w:after="0"/>
        <w:jc w:val="right"/>
        <w:rPr>
          <w:rFonts w:ascii="Times New Roman" w:hAnsi="Times New Roman"/>
          <w:sz w:val="20"/>
        </w:rPr>
      </w:pPr>
      <w:r>
        <w:rPr>
          <w:rFonts w:ascii="Times New Roman" w:hAnsi="Times New Roman"/>
          <w:sz w:val="20"/>
        </w:rPr>
        <w:t xml:space="preserve">August [ ], 2026 </w:t>
      </w:r>
    </w:p>
    <w:p>
      <w:pPr>
        <w:pStyle w:val="TextBody"/>
        <w:bidi w:val="0"/>
        <w:spacing w:before="120" w:after="0"/>
        <w:jc w:val="left"/>
        <w:rPr>
          <w:rFonts w:ascii="Times New Roman" w:hAnsi="Times New Roman"/>
          <w:sz w:val="20"/>
        </w:rPr>
      </w:pPr>
      <w:r>
        <w:rPr>
          <w:rFonts w:ascii="Times New Roman" w:hAnsi="Times New Roman"/>
          <w:sz w:val="20"/>
        </w:rPr>
        <w:t xml:space="preserve">Dear Stockholder: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a Special Meeting of Stockholders (the “Special Meeting”) of Jaguar Health, Inc. (the “Company”) to be held at 200 Pine Street, Suite 400, San Francisco, CA 94104, on Friday, September 4, 2026, at 8:30 a.m., local time.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you will be asked to: (i) approve, for purposes of Nasdaq Listing Rule 5635(d) (“Rule 5635(d)”), the issuance of shares of our voting common stock, par value $0.0001 per share (the “Common Stock”) issuable upon exchange of shares of Series Q Perpetual Preferred Stock, par value $0.0001 per share (the “Series Q Preferred Stock”) issued to certain accredited investors; (ii) to approve, for purposes of Rule 5635(d), the repricing of certain warrants issued to investors to purchase an aggregate of 60,781 shares of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(as defined hereunder); (iii) approve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and (iv) approve one or more adjournments of the Special Meeting, if necessary, to solicit additional proxies in the event that there are not sufficient votes at the time of the Special Meeting to approve proposals (i), (ii) and (iii). </w:t>
      </w:r>
    </w:p>
    <w:p>
      <w:pPr>
        <w:pStyle w:val="TextBody"/>
        <w:bidi w:val="0"/>
        <w:spacing w:before="120" w:after="0"/>
        <w:jc w:val="left"/>
        <w:rPr>
          <w:rFonts w:ascii="Times New Roman" w:hAnsi="Times New Roman"/>
          <w:sz w:val="20"/>
        </w:rPr>
      </w:pPr>
      <w:r>
        <w:rPr>
          <w:rFonts w:ascii="Times New Roman" w:hAnsi="Times New Roman"/>
          <w:sz w:val="20"/>
        </w:rPr>
        <w:t xml:space="preserve">It is important that your shares be represented and voted whether or not you plan to attend the Special Meeting in person. You may submit a proxy to have your shares voted on the Internet, by telephone or by completing and mailing a proxy card or voting instruction form. Submission of proxies over the Internet, by telephone or by mail will ensure your shares are represented at the Special Meeting. If you do attend the Special Meeting, you may, of course, withdraw your proxy should you wish to vote in person. Please read the enclosed information carefully before voting. </w:t>
      </w:r>
    </w:p>
    <w:p>
      <w:pPr>
        <w:pStyle w:val="TextBody"/>
        <w:bidi w:val="0"/>
        <w:spacing w:before="0" w:after="0"/>
        <w:jc w:val="left"/>
        <w:rPr/>
      </w:pPr>
      <w:r>
        <w:rPr/>
        <w:t> </w:t>
      </w:r>
    </w:p>
    <w:tbl>
      <w:tblPr>
        <w:tblW w:w="3786" w:type="dxa"/>
        <w:jc w:val="left"/>
        <w:tblInd w:w="0" w:type="dxa"/>
        <w:tblLayout w:type="fixed"/>
        <w:tblCellMar>
          <w:top w:w="0" w:type="dxa"/>
          <w:left w:w="0" w:type="dxa"/>
          <w:bottom w:w="0" w:type="dxa"/>
          <w:right w:w="0" w:type="dxa"/>
        </w:tblCellMar>
      </w:tblPr>
      <w:tblGrid>
        <w:gridCol w:w="3786"/>
      </w:tblGrid>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Sincerely,</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drawing>
                <wp:inline distT="0" distB="0" distL="0" distR="0">
                  <wp:extent cx="2346960" cy="5670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46960" cy="567055"/>
                          </a:xfrm>
                          <a:prstGeom prst="rect">
                            <a:avLst/>
                          </a:prstGeom>
                        </pic:spPr>
                      </pic:pic>
                    </a:graphicData>
                  </a:graphic>
                </wp:inline>
              </w:drawing>
            </w:r>
            <w:r>
              <w:rPr/>
              <w:t xml:space="preserve"> </w:t>
            </w:r>
          </w:p>
        </w:tc>
      </w:tr>
      <w:tr>
        <w:trPr/>
        <w:tc>
          <w:tcPr>
            <w:tcW w:w="3786" w:type="dxa"/>
            <w:tcBorders/>
            <w:vAlign w:val="center"/>
          </w:tcPr>
          <w:p>
            <w:pPr>
              <w:pStyle w:val="TableContents"/>
              <w:bidi w:val="0"/>
              <w:spacing w:before="0" w:after="283"/>
              <w:jc w:val="left"/>
              <w:rPr/>
            </w:pPr>
            <w:r>
              <w:rPr/>
              <w:t>Lisa A. Conte</w:t>
            </w:r>
          </w:p>
        </w:tc>
      </w:tr>
      <w:tr>
        <w:trPr/>
        <w:tc>
          <w:tcPr>
            <w:tcW w:w="3786" w:type="dxa"/>
            <w:tcBorders/>
            <w:vAlign w:val="center"/>
          </w:tcPr>
          <w:p>
            <w:pPr>
              <w:pStyle w:val="TableContents"/>
              <w:bidi w:val="0"/>
              <w:spacing w:before="0" w:after="283"/>
              <w:jc w:val="left"/>
              <w:rPr>
                <w:i/>
              </w:rPr>
            </w:pPr>
            <w:r>
              <w:rPr>
                <w:i/>
              </w:rPr>
              <w:t>Chief Executive Officer &amp; President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200 Pine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NOTICE HEREBY IS GIVEN that the Special Meeting of Stockholders (the “Special Meeting”) of Jaguar Health, Inc. (the “Company”) will be held at 200 Pine Street, Suite 400, San Francisco, CA 94104, on Friday, September 4, 2026, at 8:30 a.m., local time, for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Approving, for purposes of Nasdaq Listing Rule 5635(d), the issuance of shares of our Common Stock issuable upon exchange of shares of our Series Q Perpetual Preferred Stock, par value $0.0001 per share (the “Series Q Preferred Stock”) issued to certain accredited investors (Proposal 1); </w:t>
      </w:r>
    </w:p>
    <w:p>
      <w:pPr>
        <w:pStyle w:val="TextBody"/>
        <w:bidi w:val="0"/>
        <w:spacing w:before="120" w:after="0"/>
        <w:jc w:val="left"/>
        <w:rPr>
          <w:rFonts w:ascii="Times New Roman" w:hAnsi="Times New Roman"/>
          <w:sz w:val="20"/>
        </w:rPr>
      </w:pPr>
      <w:r>
        <w:rPr>
          <w:rFonts w:ascii="Times New Roman" w:hAnsi="Times New Roman"/>
          <w:sz w:val="20"/>
        </w:rPr>
        <w:t xml:space="preserve">2. Approving, for purposes of Rule 5635(d), the repricing of certain warrants issued to investors to purchase an aggregate of 60,781 shares of our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(Proposal 2); </w:t>
      </w:r>
    </w:p>
    <w:p>
      <w:pPr>
        <w:pStyle w:val="TextBody"/>
        <w:bidi w:val="0"/>
        <w:spacing w:before="120" w:after="0"/>
        <w:jc w:val="left"/>
        <w:rPr>
          <w:rFonts w:ascii="Times New Roman" w:hAnsi="Times New Roman"/>
          <w:sz w:val="20"/>
        </w:rPr>
      </w:pPr>
      <w:r>
        <w:rPr>
          <w:rFonts w:ascii="Times New Roman" w:hAnsi="Times New Roman"/>
          <w:sz w:val="20"/>
        </w:rPr>
        <w:t xml:space="preserve">3.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(Proposal 3); and </w:t>
      </w:r>
    </w:p>
    <w:p>
      <w:pPr>
        <w:pStyle w:val="TextBody"/>
        <w:bidi w:val="0"/>
        <w:spacing w:before="120" w:after="0"/>
        <w:jc w:val="left"/>
        <w:rPr>
          <w:rFonts w:ascii="Times New Roman" w:hAnsi="Times New Roman"/>
          <w:sz w:val="20"/>
        </w:rPr>
      </w:pPr>
      <w:r>
        <w:rPr>
          <w:rFonts w:ascii="Times New Roman" w:hAnsi="Times New Roman"/>
          <w:sz w:val="20"/>
        </w:rPr>
        <w:t xml:space="preserve">4. Approving a proposal to approve one or more adjournments of the Special Meeting, if necessary, to solicit additional proxies in the event that there are not sufficient votes at the time of the Special Meeting to approve Proposals 1, 2 and 3 (Proposal 4).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relating to the above matters is set forth in the attached Proxy Statement. Stockholders of record at the close of business on July 6, 2026 are entitled to receive notice of and to vote at the Special Meeting and any adjournment or postponement thereof. </w:t>
      </w:r>
    </w:p>
    <w:p>
      <w:pPr>
        <w:pStyle w:val="TextBody"/>
        <w:bidi w:val="0"/>
        <w:spacing w:before="0" w:after="0"/>
        <w:jc w:val="left"/>
        <w:rPr/>
      </w:pPr>
      <w:r>
        <w:rPr/>
        <w:t> </w:t>
      </w:r>
    </w:p>
    <w:tbl>
      <w:tblPr>
        <w:tblW w:w="3786" w:type="dxa"/>
        <w:jc w:val="left"/>
        <w:tblInd w:w="0" w:type="dxa"/>
        <w:tblLayout w:type="fixed"/>
        <w:tblCellMar>
          <w:top w:w="0" w:type="dxa"/>
          <w:left w:w="0" w:type="dxa"/>
          <w:bottom w:w="0" w:type="dxa"/>
          <w:right w:w="0" w:type="dxa"/>
        </w:tblCellMar>
      </w:tblPr>
      <w:tblGrid>
        <w:gridCol w:w="3786"/>
      </w:tblGrid>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By Order of the Board of Directors.</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drawing>
                <wp:inline distT="0" distB="0" distL="0" distR="0">
                  <wp:extent cx="2346960" cy="5670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46960" cy="567055"/>
                          </a:xfrm>
                          <a:prstGeom prst="rect">
                            <a:avLst/>
                          </a:prstGeom>
                        </pic:spPr>
                      </pic:pic>
                    </a:graphicData>
                  </a:graphic>
                </wp:inline>
              </w:drawing>
            </w:r>
            <w:r>
              <w:rPr/>
              <w:t xml:space="preserve"> </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Lisa A. Conte</w:t>
            </w:r>
          </w:p>
        </w:tc>
      </w:tr>
      <w:tr>
        <w:trPr/>
        <w:tc>
          <w:tcPr>
            <w:tcW w:w="3786" w:type="dxa"/>
            <w:tcBorders/>
            <w:vAlign w:val="center"/>
          </w:tcPr>
          <w:p>
            <w:pPr>
              <w:pStyle w:val="TableContents"/>
              <w:bidi w:val="0"/>
              <w:spacing w:before="0" w:after="283"/>
              <w:jc w:val="left"/>
              <w:rPr>
                <w:i/>
              </w:rPr>
            </w:pPr>
            <w:r>
              <w:rPr>
                <w:i/>
              </w:rPr>
              <w:t>Chief Executive Officer &amp; President</w:t>
            </w:r>
          </w:p>
        </w:tc>
      </w:tr>
    </w:tbl>
    <w:p>
      <w:pPr>
        <w:pStyle w:val="TextBody"/>
        <w:bidi w:val="0"/>
        <w:spacing w:before="36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[ ], 2026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relating to the above matters is set forth in the attached Proxy Statement. Stockholders of record at the close of business on July 6, 2026 are entitled to receive notice of and to vote at the Special Meeting and any adjournment or postponement thereof. If you have questions concerning the proposals in the Proxy Statement, would like additional copies of the Proxy Statement or need help in voting your shares of Common Stock, please contact our proxy solicitor Georgeson LLC at 866-821-0284.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Stockholder Meeting to be Held on Friday, September 4, 2026. The proxy materials are available at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https://jaguarhealth.gcs-web.com/financial-information/annual-reports</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PLEASE CAREFULLY READ THE PROXY STATEMENT. EVEN IF YOU EXPECT TO ATTEND THE SPECIAL MEETING, PLEASE PROMPTLY COMPLETE, EXECUTE, DATE AND RETURN THE ENCLOSED PROXY CARD OR VOTING INSTRUCTION FORM IN THE ACCOMPANYING POSTAGE-PAID ENVELOPE. NO POSTAGE IS NECESSARY IF MAILED IN THE UNITED STATES. YOU MAY ALSO SUBMIT PROXIES TO HAVE YOUR SHARES VOTED ELECTRONICALLY VIA THE INTERNET OR BY TELEPHONE BY FOLLOWING THE INSTRUCTIONS ON THE ENCLOSED PROXY CARD OR VOTING INSTRUCTION FORM. IF YOU SUBMITTED A PROXY BY INTERNET OR TELEPHONE, THEN YOU NEED NOT RETURN A WRITTEN PROXY CARD OR VOTING INSTRUCTION FORM BY MAIL. STOCKHOLDERS WHO ATTEND THE SPECIAL MEETING MAY REVOKE THEIR PROXIES AND VOTE IN PERSON IF THEY SO DESIRE (AS DESCRIBED BELOW). </w:t>
      </w:r>
    </w:p>
    <w:p>
      <w:pPr>
        <w:pStyle w:val="TextBody"/>
        <w:bidi w:val="0"/>
        <w:spacing w:before="24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200 Pine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A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September 4, 2026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INFORMATION ABOUT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to our stockholders in connection with the solicitation of proxies by our board of directors to be voted at a Special Meeting of Stockholders (the “Special Meeting”) and at any adjournment or postponement thereof. The Special Meeting will be held at 200 Pine Street, Suite 400, San Francisco, CA 94104, on Friday, September 4, 2026, at 8:30 a.m., local time.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Proxy Statement, the terms the “Company,” “we,” “us,” “our” and “Jaguar” refer to Jaguar Health, Inc.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Exchange Commission (“SEC”) rules require us to deliver our proxy materials by mail to all of our stockholders of record as of July 6, 2026 (the “Record Date”) entitled to vote at the Special Meeting. Our proxy materials include the Notice of Special Meeting of Stockholders, this Proxy Statement and the form of proxy card or voting instruction form, and we will mail these proxy materials to stockholders entitled to vote at the meeting on or about August [ ], 2026. Pursuant to rules adopted by the SEC, the Company is also providing access to its proxy materials over the Internet. All stockholders will have the ability to access the proxy materials at https://jaguarhealth.gcs-web.com/financial-information/annual-reports. </w:t>
      </w:r>
    </w:p>
    <w:p>
      <w:pPr>
        <w:pStyle w:val="TextBody"/>
        <w:bidi w:val="0"/>
        <w:spacing w:before="240" w:after="0"/>
        <w:jc w:val="left"/>
        <w:rPr>
          <w:rFonts w:ascii="Times New Roman" w:hAnsi="Times New Roman"/>
          <w:sz w:val="20"/>
        </w:rPr>
      </w:pPr>
      <w:r>
        <w:rPr>
          <w:rFonts w:ascii="Times New Roman" w:hAnsi="Times New Roman"/>
          <w:sz w:val="20"/>
        </w:rPr>
        <w:t xml:space="preserve">The date on which the Notice of Special Meeting of Stockholders, this Proxy Statement, and the form of proxy card or voting instruction form are first being sent or given to stockholders is on or about August [ ],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INFORMATION ABOUT VOTING </w:t>
      </w:r>
    </w:p>
    <w:p>
      <w:pPr>
        <w:pStyle w:val="TextBody"/>
        <w:bidi w:val="0"/>
        <w:spacing w:before="24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As of July 6, 2026, the record date for the Special Meeting (the “Record Date”), 4,857,211 shares of our voting common stock, par value $0.0001 per share (the “Common Stock”), 240 shares of Series P Non-Convertible Preferred Stock, par value of $0.0001 per share (the “Series P Preferred Stock”), and 889.28 shares of Series Q Perpetual Preferred Stock, par value of $0.0001 per share (the “Series Q Preferred Stock”), were issued and outstanding. Only holders of record of our Common Stock and Series Q Preferred Stock as of the close of business on the Record Date are entitled to notice of, and to vote at, the Special Meeting or at any adjournment or postponement thereof, subject to the applicable voting caps and other restrictions on voting described in this Proxy Statement. A list of such holders will be open to the examination of any stockholder for any purpose germane to the meeting at Jaguar Health, Inc., 200 Pine Street, Suite 400, San Francisco, CA 94104 for a period of ten (10) days prior to the Special Meeting. The list of stockholders will also be available for such examination at the Special Meeting. In addition, as of July 6, 2026, there were no shares of our non-voting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use of the capitalized term “Common Stock” in this Proxy Statement and related materials refers only to the Company’s voting common stock and does not include the Company’s convertible non-voting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Quorum and 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of record thereof to one vote.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Q Preferred Stock entitles the holder of record thereof to 6,890 votes (on an as converted to Common Stock basis, as provided in the Certificate of Designation of Preferences, Rights and Limitations of Series Q Perpetual Preferred Stock (the “Certificate of Designation of Series Q Preferred Stock”)); provided, that, any holder of Series Q Preferred Stock is not entitled to vote, on an as-converted basis and in the aggregate with respect to any shares of Common Stock and preferred stock of the Company beneficially owned by such holder and any Affiliates or Attribution Parties (as such terms are defined in the Certificate of Designation of Series Q Preferred Stock) of such holder, more than 9.99% of the Company’s outstanding shares of Common Stock as of the applicable record date (the “9.99% Voting Cap”). </w:t>
      </w:r>
    </w:p>
    <w:p>
      <w:pPr>
        <w:pStyle w:val="TextBody"/>
        <w:bidi w:val="0"/>
        <w:spacing w:before="240" w:after="0"/>
        <w:jc w:val="left"/>
        <w:rPr>
          <w:rFonts w:ascii="Times New Roman" w:hAnsi="Times New Roman"/>
          <w:sz w:val="20"/>
        </w:rPr>
      </w:pPr>
      <w:r>
        <w:rPr>
          <w:rFonts w:ascii="Times New Roman" w:hAnsi="Times New Roman"/>
          <w:sz w:val="20"/>
        </w:rPr>
        <w:t xml:space="preserve">No other securities are entitled to be voted at the Special Meeting. Each stockholder holding any of the Common Stock or Series Q Preferred Stock may vote in person or by proxy on all matters that properly come before the Special Meeting and any adjournment or postponement thereof, subject to the 9.99% Voting Cap. Holders of record of shares of Common Stock and Series Q Preferred Stock (on an as converted to Common Stock basis) will vote on the Proposals together as a single class, except Proposal 1. </w:t>
      </w:r>
    </w:p>
    <w:p>
      <w:pPr>
        <w:pStyle w:val="TextBody"/>
        <w:bidi w:val="0"/>
        <w:spacing w:before="240" w:after="0"/>
        <w:jc w:val="left"/>
        <w:rPr>
          <w:rFonts w:ascii="Times New Roman" w:hAnsi="Times New Roman"/>
          <w:sz w:val="20"/>
        </w:rPr>
      </w:pPr>
      <w:r>
        <w:rPr>
          <w:rFonts w:ascii="Times New Roman" w:hAnsi="Times New Roman"/>
          <w:sz w:val="20"/>
        </w:rPr>
        <w:t xml:space="preserve">Stockholders have no right to cumulative voting as to any matter. The presence, in person or represented by proxy, of holders of one third (1/3) of the voting power of the shares of Common Stock and Series Q Preferred Stock (on an as converted to Common Stock basis but subject to the 9.99% Voting Cap) outstanding on the Record Date and entitled to vote at the Special Meeting will constitute a quorum for purposes of voting at the Special Meeting. Properly executed proxies marked “ABSTAIN,” as well as broker non-votes, will be counted as “present” for purposes of determining the existence of a quorum. If a quorum should not be present, either the chairperson of the meeting or a majority in voting power of the stockholders present in person or by proxy and entitled to vote on the adjournment may adjourn such meeting from time to time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proxies for use in connection with the Special Meeting and any postponement or adjournment thereof. If you submit your proxy via the Internet or by telephone or execute and return the proxy card or voting instruction form accompanying this Proxy Statement, your shares will be voted as you direct on all matters properly coming before the Special Meeting for a vote. For each Proposal, you may vote “FOR” or “AGAINST” or you may vote “ABSTAIN.”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your shares are registered directly in your name with our transfer agent, Equiniti Trust Company, LLC (the “Transfer Agent”), you are considered, with respect to those shares, the stockholder of record. As the stockholder of record, you have the right to grant your proxy directly to the Company or to vote your shares in person at the Special Meeting. If you hold your shares in a stock brokerage account or through a bank or other financial intermediary, you are considered the beneficial owner of shares held in street name. Your bank, broker or other financial intermediary is considered, with respect to those shares, the stockholder of record. As the beneficial owner, you have the right to direct your bank, broker or other financial intermediary on how to vote your shares, but because you are not the stockholder of record, you may not vote these shares in person at the Special Meeting unless you obtain a signed proxy from your bank, broker or other financial intermediary, as the record holder, giving you the right to vote the shares. As a beneficial owner, you are, however, welcome to attend the Special Meeting in person provided that you present proof of beneficial ownership as of the Record Date, such as an account statement or similar evidence of ownership, along with a form of photo identification. </w:t>
      </w:r>
    </w:p>
    <w:p>
      <w:pPr>
        <w:pStyle w:val="TextBody"/>
        <w:bidi w:val="0"/>
        <w:spacing w:before="240" w:after="0"/>
        <w:jc w:val="left"/>
        <w:rPr>
          <w:rFonts w:ascii="Times New Roman" w:hAnsi="Times New Roman"/>
          <w:sz w:val="20"/>
        </w:rPr>
      </w:pPr>
      <w:r>
        <w:rPr>
          <w:rFonts w:ascii="Times New Roman" w:hAnsi="Times New Roman"/>
          <w:sz w:val="20"/>
        </w:rPr>
        <w:t xml:space="preserve">Even if you plan to attend the Special Meeting, we recommend that you also submit your proxy as described in the proxy card or voting instruction form, so that your vote will be counted if you later decide not to attend the Special Meeting. Submitting your proxy now will not prevent you from voting your shares in person by written ballot at the Special Meeting if you desire to do so, as your proxy is revocable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You may revoke your proxy by (a) delivering to the Secretary of the Company at or before the Special Meeting a written notice of revocation bearing a later date than the proxy, (b) duly executing a subsequent proxy and delivering it to the Secretary of the Company at or before the Special Meeting, or (c) attending the Special Meeting and voting in person (although attendance at the Special Meeting will not in and of itself constitute revocation of a proxy). Any written notice revoking a proxy should be delivered at or prior to the Special Meeting to: Jaguar Health, Inc., 200 Pine Street, Suite 400, San Francisco, CA 94104, Attention: Jonathan S. Wolin. Beneficial owners of our Common Stock and Series Q Preferred Stock who are not holders of record and wish to change their voting direction should contact their bank, brokerage firm or other custodian, nominee or fiduciary to inquire about how to make that change.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all valid proxies received will be voted in the manner specified. Where specific choices are not indicated on a proxy validly executed and delivered by a stockholder entitled to vote at the Special Meeting, the shares represented by such proxy will be voted: (i) “FOR” Proposal 1, which is the approval, for purposes of Rule 5635(d), of the issuance of shares of our Common Stock issuable upon exchange of shares of Series Q Preferred Stock issued to certain accredited investors; (ii) “FOR” Proposal 2, which is the approval, for purposes of Rule 5635(d), of the repricing of the Investor Warrants to purchase an aggregate of 60,781 shares of our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(Proposal 2); (iii) “FOR” Proposal 3, which is the approval of an amendment and restatement of the Company’s 2014 Plan to increase the number of shares of Common Stock authorized for issuance under the 2014 Plan to 14% of the issued and outstanding shares of Common Stock on a fully diluted basis as of September 30, 2026, and (iv) “FOR” Proposal 4, which is the approval of one or more adjournments of the Special Meeting, if necessary, to solicit additional proxies in the event that there are not sufficient votes at the time of the Special Meeting to approve Proposals 1, 2 and 3.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expenses of this solicitation, including the cost of preparing and mailing this Proxy Statement. We have retained Georgeson LLC to solicit proxies for a base fee of $8,500 plus reimbursement of reasonable out-of-pocket expenses.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and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Broker Voting </w:t>
      </w:r>
    </w:p>
    <w:p>
      <w:pPr>
        <w:pStyle w:val="TextBody"/>
        <w:bidi w:val="0"/>
        <w:spacing w:before="120" w:after="0"/>
        <w:jc w:val="left"/>
        <w:rPr>
          <w:rFonts w:ascii="Times New Roman" w:hAnsi="Times New Roman"/>
          <w:sz w:val="20"/>
        </w:rPr>
      </w:pPr>
      <w:r>
        <w:rPr>
          <w:rFonts w:ascii="Times New Roman" w:hAnsi="Times New Roman"/>
          <w:sz w:val="20"/>
        </w:rPr>
        <w:t xml:space="preserve">Brokers holding shares of record in “street name” for a client have the discretionary authority to vote on some matters (routine matters) if they do not receive instructions from the client regarding how the client wants the shares voted at least 10 days before the date of the meeting; provided the proxy materials are transmitted to the client at least 15 days before the meeting. There are also some matters with respect to which brokers do not have discretionary authority to vote (non-routine matters) if they do not receive timely instructions from the client. When a broker does not have discretion to vote on a particular matter and the client has not given timely instructions on how the broker should vote, a broker non-vote results. Any broker non-vote will be counted as present at the Special Meeting for purposes of determining a quorum, but will be treated as not entitled to vote with respect to non-routine matters. </w:t>
      </w:r>
    </w:p>
    <w:p>
      <w:pPr>
        <w:pStyle w:val="TextBody"/>
        <w:bidi w:val="0"/>
        <w:spacing w:before="240" w:after="0"/>
        <w:jc w:val="left"/>
        <w:rPr>
          <w:rFonts w:ascii="Times New Roman" w:hAnsi="Times New Roman"/>
          <w:sz w:val="20"/>
        </w:rPr>
      </w:pPr>
      <w:r>
        <w:rPr>
          <w:rFonts w:ascii="Times New Roman" w:hAnsi="Times New Roman"/>
          <w:sz w:val="20"/>
        </w:rPr>
        <w:t xml:space="preserve">All of the proposals—the proposal to approve, for purposes of Rule 5635(d), the issuance of shares of Common Stock issuable upon exchange of shares of Series Q Preferred Stock issued to certain accredited investors (Proposal 1), the proposal to approve, for purposes of Rule 5635(d), the repricing of the Investor Warrants to purchase an aggregate of 60,781 shares of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(Proposal 2), the proposal to approve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(Proposal 3), and the proposal to approve one or more adjournments of the Special Meeting, if necessary, to solicit additional proxies in the event that there are not sufficient votes at the time of the Special Meeting to approve Proposals 1, 2 and 3 (Proposal 4)—are considered not “routine” matters and brokers do not have discretionary authority to vote on behalf of beneficial owners on such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Issuance, for Purposes of Nasdaq Listing Rule 5635(d), of Shares of Common Stock Issuable upon Exchange of Shares of Series Q Preferred Stock Issued to Certain 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for purposes of Nasdaq Listing Rule 5635(d), the issuance of shares of Common Stock issuable upon exchange of shares of Series Q Preferred Stock issued to certain accredited investors, you may vote in favor of the proposal, vote against the proposal or abstain from voting. The vote required to approve Proposal 1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1.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Rules, the shares of Series Q Preferred Stock will not be eligible to vote for Proposal 1 (either on an as-converted into Common Stock basis or otherwise).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Proposal 2 - For Purposes of Nasdaq Listing Rule 5635(d), the Repricing of the Investor Warrants to Purchase an Aggregate of 60,781 Shares of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proposal to approve, for purposes of Nasdaq Listing Rule 5635(d), the repricing of the Investor Warrants to purchase an aggregate of 60,781 shares of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you may vote in favor of the proposal, vote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proposal or abstain from voting. The vote required to approve Proposal 2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3 - Amendment and Restatement to the 2014 Plan to Increase the Number of Shares of Common Stock Authorized for Issuance under the 2014 Plan to 14% of the issued and outstanding shares of Common Stock on a fully diluted basis as of September 30, 2026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an amendment and restatement of the 2014 Plan to increase the number of shares of Common Stock authorized for issuance under the 2014 Plan to 14% of the issued and outstanding shares of Common Stock on a fully diluted basis as of September 30, 2026, you may vote in favor of the proposal, vote against the proposal or abstain from voting. The vote required to approve Proposal 3 is governed by Delaware law, Nasdaq Listing Rules, the COI and the Bylaws and is the affirmative vote of the holders of a majority in voting power of the votes cast at the Special Meeting by the holders entitled to vote thereon, provided a quorum is present. As a result, abstentions will be considered in determining whether a quorum is present but will have no effect on the vote for Proposal 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4 - Adjournment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one or more adjournments the Special Meeting, if necessary, to solicit additional proxies in the event that there are not sufficient votes at the time of the Special Meeting to approve Proposals 1, 2 and 3, you may vote in favor of the proposal, vote against the proposal or abstain from voting. The vote required to approve Proposal 4 is governed by Delaware law, our COI and our Bylaws and is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present in person or represented by proxy at the Special Meeting and entitled to vote thereon, provided a quorum is present. As a result, abstentions and broker non-votes will be considered in determining whether a quorum is present but will have no effect on the vote for Proposal 4. </w:t>
      </w:r>
    </w:p>
    <w:p>
      <w:pPr>
        <w:pStyle w:val="TextBody"/>
        <w:bidi w:val="0"/>
        <w:spacing w:before="480" w:after="0"/>
        <w:jc w:val="center"/>
        <w:rPr>
          <w:rFonts w:ascii="Times New Roman" w:hAnsi="Times New Roman"/>
          <w:b/>
          <w:sz w:val="20"/>
        </w:rPr>
      </w:pPr>
      <w:r>
        <w:rPr>
          <w:rFonts w:ascii="Times New Roman" w:hAnsi="Times New Roman"/>
          <w:b/>
          <w:sz w:val="20"/>
        </w:rPr>
        <w:t xml:space="preserve">NO DISSENTERS’ RIGHTS </w:t>
      </w:r>
    </w:p>
    <w:p>
      <w:pPr>
        <w:pStyle w:val="TextBody"/>
        <w:bidi w:val="0"/>
        <w:spacing w:before="240" w:after="0"/>
        <w:jc w:val="left"/>
        <w:rPr>
          <w:rFonts w:ascii="Times New Roman" w:hAnsi="Times New Roman"/>
          <w:sz w:val="20"/>
        </w:rPr>
      </w:pPr>
      <w:r>
        <w:rPr>
          <w:rFonts w:ascii="Times New Roman" w:hAnsi="Times New Roman"/>
          <w:sz w:val="20"/>
        </w:rPr>
        <w:t xml:space="preserve">The corporate action described in this Proxy Statement will not afford to stockholders the opportunity to dissent from the actions described herein and receive an agreed or judicially appraised value for their shares of Common Stock or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Proxy Statement that are not historical statements, including statements regarding future capital-raising activities and expected use of proceeds therefrom, our estimates regarding expenses, future revenues, capital requirements, needs for additional financing, our ability to obtain additional financing, our success with regard to any business development initiatives, our ability to recruit or retain key scientific or management personnel or to retain our executive officers, our stock price and ability to meet the continued listing requirements of The Nasdaq Capital Market, and any other statements regarding our future expectations, beliefs, plans, objectives, financial conditions, assumptions or future events or performance that are not historical facts, are forward-looking statements within the meaning of the federal securities laws. These statements are subject to numerous risks and uncertainties, many of which are beyond our control, which could cause actual results to differ materially from the results expressed or implied by the statements. We describe risks and uncertainties that could cause actual results and events to differ materially in the “Risk Factors” and “Management’s Discussion and Analysis of Financial Condition and Results of Operations” section of our Annual Report on Form 10-K for the fiscal year ended December 31, 2025 (the “Annual Report”), which was filed on April 7, 2026, and as revised or supplemented by our most recent Quarterly Report on Form 10-Q for the fiscal quarter ended March 31, 2026, which was filed on May 20, 2026. </w:t>
      </w:r>
    </w:p>
    <w:p>
      <w:pPr>
        <w:pStyle w:val="TextBody"/>
        <w:bidi w:val="0"/>
        <w:spacing w:before="240" w:after="0"/>
        <w:jc w:val="left"/>
        <w:rPr>
          <w:rFonts w:ascii="Times New Roman" w:hAnsi="Times New Roman"/>
          <w:b/>
          <w:sz w:val="20"/>
        </w:rPr>
      </w:pPr>
      <w:r>
        <w:rPr>
          <w:rFonts w:ascii="Times New Roman" w:hAnsi="Times New Roman"/>
          <w:b/>
          <w:sz w:val="20"/>
        </w:rPr>
        <w:t xml:space="preserve">Any forward-looking statements should be considered in light of such important factors. We undertake no obligation to revise or update publicly any forward-looking statements for any reason. Readers are cautioned not to place undue reliance on any forward-looking statement, which speaks only as of the date on which such statement is made. </w:t>
      </w:r>
    </w:p>
    <w:p>
      <w:pPr>
        <w:pStyle w:val="TextBody"/>
        <w:bidi w:val="0"/>
        <w:spacing w:before="240" w:after="0"/>
        <w:jc w:val="left"/>
        <w:rPr>
          <w:rFonts w:ascii="Times New Roman" w:hAnsi="Times New Roman"/>
          <w:b/>
          <w:sz w:val="20"/>
        </w:rPr>
      </w:pPr>
      <w:r>
        <w:rPr>
          <w:rFonts w:ascii="Times New Roman" w:hAnsi="Times New Roman"/>
          <w:b/>
          <w:sz w:val="20"/>
        </w:rPr>
        <w:t xml:space="preserve">All subsequent written and oral forward-looking statements concerning the matters addressed in this Proxy Statement and attributable to us or any person acting on our behalf are expressly qualified in their entirety by the cautionary statements contained or referred to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our Common Stock and Series Q Preferred Stock as of July 6,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the beneficial owner of more than 5% of our outstanding shares of Common Stock and Series Q Preferred Stock;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named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with respect to beneficial ownership has been furnished by each director, executive officer or beneficial owner of more than 5% of our Common Stock and Series Q Preferred Stock. Beneficial ownership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and Series Q Preferred Stock shown as beneficially owned by them. The number of shares of Common Stock used to calculate the percentage ownership of each listed person includes the shares of Common Stock underlying options, warrants or convertible securities held by such persons that are currently exercisable or convertible within 60 days of July 6, 2026,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of Common Stock is based on 4,857,211 shares of Common Stock outstanding as of July 6, 2026. Percentage beneficial ownership of Series Q Preferred Stock is based on 889.28 shares of Series Q Preferred Stock outstanding as of July 6, 2026.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below, the address of each beneficial owner listed in the table below is c/o Jaguar Health, Inc., 200 Pine Street, Suite 400, San Francisco, California 94104. </w:t>
      </w:r>
    </w:p>
    <w:p>
      <w:pPr>
        <w:pStyle w:val="TextBody"/>
        <w:bidi w:val="0"/>
        <w:spacing w:before="0" w:after="0"/>
        <w:jc w:val="left"/>
        <w:rPr/>
      </w:pPr>
      <w:r>
        <w:rPr/>
        <w:t> </w:t>
      </w:r>
    </w:p>
    <w:tbl>
      <w:tblPr>
        <w:tblW w:w="10078" w:type="dxa"/>
        <w:jc w:val="left"/>
        <w:tblInd w:w="0" w:type="dxa"/>
        <w:tblLayout w:type="fixed"/>
        <w:tblCellMar>
          <w:top w:w="0" w:type="dxa"/>
          <w:left w:w="0" w:type="dxa"/>
          <w:bottom w:w="0" w:type="dxa"/>
          <w:right w:w="0" w:type="dxa"/>
        </w:tblCellMar>
      </w:tblPr>
      <w:tblGrid>
        <w:gridCol w:w="4355"/>
        <w:gridCol w:w="60"/>
        <w:gridCol w:w="83"/>
        <w:gridCol w:w="1107"/>
        <w:gridCol w:w="67"/>
        <w:gridCol w:w="67"/>
        <w:gridCol w:w="187"/>
        <w:gridCol w:w="1003"/>
        <w:gridCol w:w="275"/>
        <w:gridCol w:w="60"/>
        <w:gridCol w:w="96"/>
        <w:gridCol w:w="1094"/>
        <w:gridCol w:w="72"/>
        <w:gridCol w:w="72"/>
        <w:gridCol w:w="142"/>
        <w:gridCol w:w="1048"/>
        <w:gridCol w:w="290"/>
      </w:tblGrid>
      <w:tr>
        <w:trPr/>
        <w:tc>
          <w:tcPr>
            <w:tcW w:w="4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60" w:type="dxa"/>
            <w:tcBorders/>
            <w:vAlign w:val="center"/>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4" w:type="dxa"/>
            <w:gridSpan w:val="6"/>
            <w:tcBorders>
              <w:bottom w:val="single" w:sz="8" w:space="0" w:color="000000"/>
            </w:tcBorders>
            <w:tcMar>
              <w:bottom w:w="28" w:type="dxa"/>
            </w:tcMar>
            <w:vAlign w:val="center"/>
          </w:tcPr>
          <w:p>
            <w:pPr>
              <w:pStyle w:val="TableContents"/>
              <w:bidi w:val="0"/>
              <w:spacing w:before="0" w:after="283"/>
              <w:jc w:val="center"/>
              <w:rPr/>
            </w:pPr>
            <w:r>
              <w:rPr>
                <w:b/>
              </w:rPr>
              <w:t>Series Q</w:t>
            </w:r>
            <w:r>
              <w:rPr/>
              <w:br/>
            </w:r>
            <w:r>
              <w:rPr>
                <w:b/>
              </w:rPr>
              <w:t>Preferred Stock</w:t>
            </w:r>
          </w:p>
        </w:tc>
        <w:tc>
          <w:tcPr>
            <w:tcW w:w="290" w:type="dxa"/>
            <w:tcBorders/>
            <w:vAlign w:val="center"/>
          </w:tcPr>
          <w:p>
            <w:pPr>
              <w:pStyle w:val="TableContents"/>
              <w:bidi w:val="0"/>
              <w:spacing w:before="0" w:after="283"/>
              <w:jc w:val="left"/>
              <w:rPr/>
            </w:pPr>
            <w:r>
              <w:rPr/>
              <w:t> </w:t>
            </w:r>
          </w:p>
        </w:tc>
      </w:tr>
      <w:tr>
        <w:trPr/>
        <w:tc>
          <w:tcPr>
            <w:tcW w:w="43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9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107"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Streeterville Capital LLC(1)</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390,930</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382.61</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43.0</w:t>
            </w:r>
          </w:p>
        </w:tc>
        <w:tc>
          <w:tcPr>
            <w:tcW w:w="29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Uptown Capital, LLC(2)</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506.67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57.0</w:t>
            </w:r>
          </w:p>
        </w:tc>
        <w:tc>
          <w:tcPr>
            <w:tcW w:w="29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Lisa A. Conte(3)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1,582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Pravin Chaturvedi, Ph.D.(4)</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630</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 King, Ph.D.(5)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620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S. Wolin(6)</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1,096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Carol Lizak(7)</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451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J. Bochnowski(8)</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2,501</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B. Siegel(9)</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963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Micek III(10)</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963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Anula Jayasuriya(11)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w:t>
              <w:br/>
              <w:t>(9 persons)(12)</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8,957</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315" w:type="dxa"/>
        <w:jc w:val="left"/>
        <w:tblInd w:w="0" w:type="dxa"/>
        <w:tblLayout w:type="fixed"/>
        <w:tblCellMar>
          <w:top w:w="0" w:type="dxa"/>
          <w:left w:w="0" w:type="dxa"/>
          <w:bottom w:w="0" w:type="dxa"/>
          <w:right w:w="0" w:type="dxa"/>
        </w:tblCellMar>
      </w:tblPr>
      <w:tblGrid>
        <w:gridCol w:w="155"/>
        <w:gridCol w:w="1160"/>
      </w:tblGrid>
      <w:tr>
        <w:trPr/>
        <w:tc>
          <w:tcPr>
            <w:tcW w:w="1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Streeterville Capital LLC.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Uptown Capital, LLC.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167 shares of Common Stock held by Ms. Conte, (ii) 636 shares of Common Stock issuable to Ms. Conte under stock options that are exercisable or will become exercisable in the 60 days subsequent to July 6, 2026, with the weighted average exercise price of the 636 stock options being $206.39, (iii) 257 shares of Common Stock issuable upon exercise of a common stock purchase warrant held by Ms. Conte, exercisable at an exercise price of $190.05 per share, and (iv) 522 shares of Common Stock issuable upon exercise of a common stock purchase warrant held by Ms. Conte,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68 shares of Common Stock held by Dr. Chaturvedi, (ii) 250 shares of Common Stock issuable to Dr. Chaturvedi under stock options that are exercisable or will become exercisable in the 60 days subsequent to July 6, 2026, with the weighted average exercise price of the 250 stock options being $166.86, (iii) 103 shares of Common Stock issuable upon exercise of a common stock purchase warrant held by Dr. Chaturvedi, exercisable at an exercise price of $190.05 per share, and (iv) 209 shares of Common Stock issuable upon exercise of a common stock purchase warrant held by Dr. Chaturvedi,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58 shares of Common Stock held by Dr. King, (ii) 250 shares of Common Stock issuable to Dr. King under stock options that are exercisable or will become exercisable in the 60 days subsequent to July 6, 2026, with the weighted average exercise price of the 250 stock options being $166.86, (iii) 103 shares of Common Stock issuable upon exercise of a common stock purchase warrant held by Dr. King, exercisable at an exercise price of $190.05 per share, and (iv) 209 shares of Common Stock issuable upon exercise of a common stock purchase warrant held by Dr. King,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67 shares of Common Stock held by Mr. Wolin, (ii) 250 shares of Common Stock issuable to Mr. Wolin under stock options that are exercisable or will become exercisable in the 60 days subsequent to July 6, 2026, with the weighted average exercise price of the 250 stock options being $166.86, (iii) 257 shares of Common Stock issuable upon exercise of a common stock purchase warrant held by Mr. Wolin, exercisable at an exercise price of $190.05 per share, and (iv) 522 shares of Common Stock issuable upon exercise of a common stock purchase warrant held by Mr. Wolin,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51 shares of Common Stock held by Ms. Lizak, (ii) 246 shares of Common Stock issuable to Ms. Lizak under stock options that are exercisable or will become exercisable in the 60 days subsequent to July 6, 2026, with the weighted average exercise price of the 246 stock options being $151.22, and (iii) 154 shares of Common Stock issuable upon exercise of a common stock purchase warrant held by Ms. Lizak, exercisable at an exercise price of $190.05 per share. The warrant provides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(8)</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17 shares of Common Stock held by Mr. Bochnowski, (ii) 147 shares of Common Stock issuable to Mr. Bochnowski under stock options that are exercisable or will become exercisable in the 60 days subsequent to July 6, 2026, with the weighted average exercise price of the 147 stock options being $241.13, (iii) 771 shares of Common Stock issuable upon exercise of a common stock purchase warrant held by Bochnowski Family Trust (“Bochnowski Family Trust”), where Mr. Bochnowski is a co-trustee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beneficiary of such trust and shares voting and investment control over such shares with his spouse, exercisable at an exercise price of $190.05 per share, and (iv) 1,565 shares of Common Stock issuable upon exercise of a common stock purchase warrant held by Bochnowski Family Trust,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(9)</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15 shares of Common Stock held by Mr. Siegel, (ii) 169 shares of Common Stock issuable to Mr. Siegel under stock options that are exercisable or will become exercisable in the 60 days subsequent to July 6, 2026, with the weighted average exercise price of the 169 stock options being $241.82, (iii) 257 shares of Common Stock issuable upon exercise of a common stock purchase warrant held by JBS Healthcare Ventures LLC (“JBS”) where Mr. Siegel is the sole member, exercisable at an exercise price of $190.05 per share, and (iv) 522 shares of Common Stock issuable upon exercise of a common stock purchase warrant held by JBS,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(10)</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15 shares of Common Stock held by Mr. Micek, (ii) 169 shares of Common Stock issuable to Mr. Micek under stock options that are exercisable or will become exercisable in the 60 days subsequent to July 6, 2026, with the weighted average exercise price of the 169 stock options being $241.82, (iii) 257 shares of Common Stock issuable upon exercise of a common stock purchase warrant held by Mr. Micek, exercisable at an exercise price of $190.05 per share, and (iv) 522 shares of Common Stock issuable upon exercise of a common stock purchase warrant held by Mr. Micek, exercisable at an exercise price of $94.50 per share. The warrants provide for limitations on exercise, respectively,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(11)</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16 share of Common Stock held by Dr. Jayasuriya, and (ii) 135 shares of Common Stock issuable to Dr. Jayasuriya under stock options that are exercisable or will become exercisable in the 60 days subsequent to July 6, 2026, with the weighted average exercise price of the 135 stock options being $242.11. </w:t>
            </w:r>
          </w:p>
        </w:tc>
      </w:tr>
    </w:tbl>
    <w:tbl>
      <w:tblPr>
        <w:tblW w:w="2275" w:type="dxa"/>
        <w:jc w:val="left"/>
        <w:tblInd w:w="0" w:type="dxa"/>
        <w:tblLayout w:type="fixed"/>
        <w:tblCellMar>
          <w:top w:w="0" w:type="dxa"/>
          <w:left w:w="0" w:type="dxa"/>
          <w:bottom w:w="0" w:type="dxa"/>
          <w:right w:w="0" w:type="dxa"/>
        </w:tblCellMar>
      </w:tblPr>
      <w:tblGrid>
        <w:gridCol w:w="425"/>
        <w:gridCol w:w="1850"/>
      </w:tblGrid>
      <w:tr>
        <w:trPr/>
        <w:tc>
          <w:tcPr>
            <w:tcW w:w="425" w:type="dxa"/>
            <w:tcBorders/>
            <w:vAlign w:val="center"/>
          </w:tcPr>
          <w:p>
            <w:pPr>
              <w:pStyle w:val="TableContents"/>
              <w:bidi w:val="0"/>
              <w:spacing w:before="0" w:after="283"/>
              <w:jc w:val="left"/>
              <w:rPr/>
            </w:pPr>
            <w:r>
              <w:rPr/>
              <w:t>(12)</w:t>
            </w:r>
          </w:p>
        </w:tc>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footnotes (2 - 11).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 APPROVAL OF THE ISSUANCE OF SHARES OF COMMON STOCK UPON EXCHANGE OF SERIES Q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 5635(d) (“Rule 5635(d)”), the issuance of shares of Common Stock issuable upon the exchange, from time to time, of the shares of Series Q Preferred Stock previously issued by the Company to certain accredited investors. All per share dollar figures included in this Proposal 1 are subject to adjustment for stock splits, stock dividends, reclassifications and other similar recapitalization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May 19, 2026, the Company entered into a privately negotiated exchange agreement (the “Uptown Series Q Exchange Agreement”) with Uptown Capital, LLC (f/k/a Irving Park Capital, LLC) (“Uptown”). Pursuant to the Uptown Series Q Exchange Agreement, the Company issued 500 shares of Series Q Preferred Stock to Uptown in exchange for a $12,500,000 reduction in the outstanding balance of that certain royalty interest in the original principal amount of $12.0 million sold by the Company to Uptown in December 2020 (as amended, the “December 2020 Royalty Interest”). Also on May 19, 2026, the Company entered into a privately negotiated exchange agreement (the “Streeterville Series Q Exchange Agreement”; together with the Uptown Series Q Exchange Agreement, collectively, the “Series Q Exchange Agreements”) with Streeterville Capital, LLC (“Streeterville”) (together with Uptown, collectively the “Series Q Accredited Investors”). Pursuant to the Streeterville Series Q Exchange Agreement, the Company issued 148 shares of Series Q Preferred Stock to Streeterville in exchange for a $3,700,000 reduction in the outstanding balance of that certain royalty interest in the original principal amount of $12 million sold by the Company to Streeterville in August 2022 (as amended, the “August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Certificate of Designation of Series Q Preferred Stock, we have the right to exchange from time to time at our discretion all or part of the then outstanding shares of Series Q Preferred Stock for shares of Common Stock (the “Series Q Exchange Shares”) at an exchange ratio (the “Series Q Exchange Ratio”) equal to, for each share of Series Q Preferred Stock, the $25,000 stated value divided by the applicable Series Q Exchange Price, which is equal to the lower of: (i) the Nasdaq official closing price (as reflected on Nasdaq.com) immediately preceding the applicable exchange date or (ii) the average Nasdaq official closing price of the Common Stock (as reflected on Nasdaq.com) for the five (5) trading days immediately preceding such exchange date, to the extent that the maximum number of the Series Q Exchange Shares issued would not violate Rule 5635(d) (the “Series Q Exchange Cap”) unless and until the stockholder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Series Q Preferred Stock and Series Q Exchange Agreements are not complete and are qualified in their entirety by reference to the Certificate of Designation of Series Q Preferred Stock and Series Q Exchange Agreements, respectively, which are filed as exhibits to our Current Report on Form 8-K filed with the SEC on May 19,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5635(d), stockholder approval is required prior to a 20% Issuance at a price that is less than the Minimum Price. For purposes of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Rule 5635(d).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July 6, 2026, we had 4,857,211 shares of Common Stock outstanding. Therefore, the issuance of 7,911,743 Series Q Exchange Shares (assuming full exchange of 889.28 shares of Series Q Preferred Stock outstanding as of July 6, 2026) would have constituted approximately 62.0% of the shares of our Common Stock outstanding prior to the closing of the Series Q Exchange Transaction. As such, pursuant to the Certificate of Designation of Series Q Preferred Stock, we are obligated to seek and are therefore seeking stockholder approval pursuant to Rule 5635(d) for the issuance to the Series Q Accredited Investors of shares of Common Stock, from time to time at our discretion upon exchange of the Series Q Preferred Stock at the Series Q Exchange Ratio. If this proposal is approved, we will not solicit further authorization from our stockholders prior to any exchange of the Series Q Preferred Stock pursuant to the terms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do not approve this proposal, shares of our Common Stock may not be issued in exchange for the shares of Series Q Preferred Stock in excess of the Series Q Exchange Cap, unless and until stockholder approval of this proposal is obtained.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all or part of the shares of Series Q Preferred Stock for shares of Common Stock will have a dilutive effect on our current stockholders in that the percentage ownership of the Company held by our current stockholders would decline as a result of the issuance of additional shares of our Common Stock upon exchange of the shares of Series Q Preferred Stock. As a result, our current stockholders would own a smaller proportionate interest in the Company and therefore have less ability to influence corporate decisions requiring stockholder approval. The issuance of shares of our Common Stock upon exchange of the shares of Series Q Preferred Stock could also have a dilutive effect on our book value per share and on any future earnings per share, and the sale or any resale of such shares could cause prevailing market prices for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effective Series Q Exchange Ratio for any future exchange would be based on the Series Q Exchange Price as of the time of such exchange, the exact magnitude of the dilutive effect of any future exchange cannot be conclusively determined but may be material to our current stockholders. By way of example, based on an assumed effective Series Q Exchange Price of $2.50 per share (the “Assumed Series Q Exchange Price”), and assuming that all of the 889.28 shares of Series Q Preferred Stock outstanding as of July 6, 2026 are exchanged, up to a maximum of 7,911,743 shares of our Common Stock would be issuable upon exchange of the Series Q Preferred Stock. Based on the shares of our Common Stock outstanding as of July 6, 2026, the shares of Common Stock issued upon exchange of the Series Q Preferred Stock in full would represent approximately 62.0% of our outstanding Common Stock (after giving effect to such exchanges). The exchange price in connection with future exchanges could be materially lower than the Assumed Series Q Exchange Price, which could have a significant dilutive effect on our current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illustration purposes only, below is a table showing the number of shares of Common Stock that may potentially be issued upon exchange of the shares of Series Q Preferred Stock based on three hypothetical exchange prices, assuming that all 889.28 outstanding shares of Series Q Preferred Stock are exchanged for shares of Common Stock. The number of shares of Common Stock issuable will correspondingly increase or decrease depending on the actual exchange price for the Series Q Preferred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34"/>
        <w:gridCol w:w="120"/>
        <w:gridCol w:w="140"/>
        <w:gridCol w:w="1100"/>
        <w:gridCol w:w="275"/>
        <w:gridCol w:w="60"/>
        <w:gridCol w:w="140"/>
        <w:gridCol w:w="982"/>
        <w:gridCol w:w="275"/>
        <w:gridCol w:w="60"/>
        <w:gridCol w:w="140"/>
        <w:gridCol w:w="986"/>
        <w:gridCol w:w="293"/>
      </w:tblGrid>
      <w:tr>
        <w:trPr/>
        <w:tc>
          <w:tcPr>
            <w:tcW w:w="56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6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Scenario A</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Scenario B</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Scenario C</w:t>
            </w:r>
          </w:p>
        </w:tc>
        <w:tc>
          <w:tcPr>
            <w:tcW w:w="293" w:type="dxa"/>
            <w:tcBorders/>
            <w:vAlign w:val="center"/>
          </w:tcPr>
          <w:p>
            <w:pPr>
              <w:pStyle w:val="TableContents"/>
              <w:bidi w:val="0"/>
              <w:spacing w:before="0" w:after="283"/>
              <w:jc w:val="left"/>
              <w:rPr/>
            </w:pPr>
            <w:r>
              <w:rPr/>
              <w:t> </w:t>
            </w:r>
          </w:p>
        </w:tc>
      </w:tr>
      <w:tr>
        <w:trPr/>
        <w:tc>
          <w:tcPr>
            <w:tcW w:w="5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Hypothetical Series Q Exchange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4.00</w:t>
            </w:r>
          </w:p>
        </w:tc>
        <w:tc>
          <w:tcPr>
            <w:tcW w:w="293" w:type="dxa"/>
            <w:tcBorders/>
            <w:shd w:fill="CCEEFF" w:val="clear"/>
            <w:vAlign w:val="center"/>
          </w:tcPr>
          <w:p>
            <w:pPr>
              <w:pStyle w:val="TableContents"/>
              <w:bidi w:val="0"/>
              <w:spacing w:before="0" w:after="283"/>
              <w:jc w:val="left"/>
              <w:rPr/>
            </w:pPr>
            <w:r>
              <w:rPr/>
              <w:t> </w:t>
            </w:r>
          </w:p>
        </w:tc>
      </w:tr>
      <w:tr>
        <w:trPr/>
        <w:tc>
          <w:tcPr>
            <w:tcW w:w="563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Hypothetical Series Q Exchange Ratio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6,250</w:t>
            </w:r>
          </w:p>
        </w:tc>
        <w:tc>
          <w:tcPr>
            <w:tcW w:w="293" w:type="dxa"/>
            <w:tcBorders/>
            <w:vAlign w:val="center"/>
          </w:tcPr>
          <w:p>
            <w:pPr>
              <w:pStyle w:val="TableContents"/>
              <w:bidi w:val="0"/>
              <w:spacing w:before="0" w:after="283"/>
              <w:jc w:val="left"/>
              <w:rPr/>
            </w:pPr>
            <w:r>
              <w:rPr/>
              <w:t> </w:t>
            </w:r>
          </w:p>
        </w:tc>
      </w:tr>
      <w:tr>
        <w:trPr/>
        <w:tc>
          <w:tcPr>
            <w:tcW w:w="5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Aggregate Outstanding Shares of Series Q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889.28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889.28</w:t>
            </w:r>
          </w:p>
        </w:tc>
        <w:tc>
          <w:tcPr>
            <w:tcW w:w="293" w:type="dxa"/>
            <w:tcBorders/>
            <w:shd w:fill="CCEEFF" w:val="clear"/>
            <w:vAlign w:val="center"/>
          </w:tcPr>
          <w:p>
            <w:pPr>
              <w:pStyle w:val="TableContents"/>
              <w:bidi w:val="0"/>
              <w:spacing w:before="0" w:after="283"/>
              <w:jc w:val="left"/>
              <w:rPr/>
            </w:pPr>
            <w:r>
              <w:rPr/>
              <w:t> </w:t>
            </w:r>
          </w:p>
        </w:tc>
      </w:tr>
      <w:tr>
        <w:trPr/>
        <w:tc>
          <w:tcPr>
            <w:tcW w:w="563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Exchange of Series Q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44,464,000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8,892,800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5,558,000</w:t>
            </w:r>
          </w:p>
        </w:tc>
        <w:tc>
          <w:tcPr>
            <w:tcW w:w="293" w:type="dxa"/>
            <w:tcBorders/>
            <w:vAlign w:val="center"/>
          </w:tcPr>
          <w:p>
            <w:pPr>
              <w:pStyle w:val="TableContents"/>
              <w:bidi w:val="0"/>
              <w:spacing w:before="0" w:after="283"/>
              <w:jc w:val="left"/>
              <w:rPr/>
            </w:pPr>
            <w:r>
              <w:rPr/>
              <w:t> </w:t>
            </w:r>
          </w:p>
        </w:tc>
      </w:tr>
      <w:tr>
        <w:trPr/>
        <w:tc>
          <w:tcPr>
            <w:tcW w:w="5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Exchange of Series Q Preferred Stock (After Giving Effect to Such Exchange)*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53.4</w:t>
            </w:r>
          </w:p>
        </w:tc>
        <w:tc>
          <w:tcPr>
            <w:tcW w:w="293" w:type="dxa"/>
            <w:tcBorders/>
            <w:shd w:fill="CCEEFF" w:val="clear"/>
            <w:vAlign w:val="center"/>
          </w:tcPr>
          <w:p>
            <w:pPr>
              <w:pStyle w:val="TableContents"/>
              <w:bidi w:val="0"/>
              <w:spacing w:before="0" w:after="283"/>
              <w:jc w:val="left"/>
              <w:rPr/>
            </w:pPr>
            <w:r>
              <w:rPr/>
              <w:t>% </w:t>
            </w:r>
          </w:p>
        </w:tc>
      </w:tr>
      <w:tr>
        <w:trPr/>
        <w:tc>
          <w:tcPr>
            <w:tcW w:w="56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6" w:type="dxa"/>
            <w:tcBorders/>
            <w:vAlign w:val="center"/>
          </w:tcPr>
          <w:p>
            <w:pPr>
              <w:pStyle w:val="TableContents"/>
              <w:pBdr>
                <w:top w:val="double" w:sz="6"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890" w:type="dxa"/>
        <w:jc w:val="left"/>
        <w:tblInd w:w="0" w:type="dxa"/>
        <w:tblLayout w:type="fixed"/>
        <w:tblCellMar>
          <w:top w:w="0" w:type="dxa"/>
          <w:left w:w="0" w:type="dxa"/>
          <w:bottom w:w="0" w:type="dxa"/>
          <w:right w:w="0" w:type="dxa"/>
        </w:tblCellMar>
      </w:tblPr>
      <w:tblGrid>
        <w:gridCol w:w="155"/>
        <w:gridCol w:w="8735"/>
      </w:tblGrid>
      <w:tr>
        <w:trPr/>
        <w:tc>
          <w:tcPr>
            <w:tcW w:w="155"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July 6, 2026, which was 4,857,211.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issuance of shares of Common Stock upon the exchange of all or part of the shares of Series Q Preferred Stock from time to time at the Company’s sole discretion (this Proposal 1), the affirmative vote of the holders of a majority in voting power of the votes cast affirmatively or negatively (excluding abstentions and broker non-votes) by holders of shares of Common Stock present in person or represented by proxy at the Special Meeting, voting together as a single class and entitled to vote thereon is required, provided a quorum is present.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our Bylaws and COI that the holders of one third (1/3) in voting power of our capital stock issued and outstanding and entitled to vote at the Special Meeting be present in person or represented by proxy to constitute a quorum at the Special Meeting. Pursuant to Nasdaq Rules, the shares of Series Q Preferred Stock will not be eligible to vote for Proposal 1 (either on an as-converted into Common Stock basis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that the stockholders vote “FOR” Proposal 1 to authorize the issuance, pursuant to Nasdaq Listing Rule 5635(d), of shares of Common Stock upon exchange of the shares of Series Q Preferred Stock previously issued pursuant to the terms of the Certificate of Designation of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2 - APPROVAL OF THE REPRICING OF THE INVESTOR WARRANTS SO THAT EACH INVESTOR WARRANT HAS A NEW EXERCISE PRICE EQUAL TO $1.00 PER SHARE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 5635(d) (“Rule 5635(d)”), the repricing of certain warrants issued to investors to purchase an aggregate of 60,781 shares of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2 have been retroactively adjusted to give effect to the 1-for-35 reverse stock split of the Company’s issued and outstanding shares of Common Stock that took effect on April 30, 2026, and are subject to adjustment for any stock splits, stock dividends, reclassifications and other similar recapitalization transactions following the date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amendments substantially in the form attached hereto as Annex A (collectively the “Warrant Amendments”) with the holders of the Investor Warrants, pursuant to which we and the holders will agree, subject to the Stockholder Approval (as defined in the Warrant Amendments), to amend the Investor Warrants so that the amended Investor Warrants will have a reduced exercise price of $1.00 per share (the “Repriced Exercise Price”) and a new expiration date of the 30th day following the Stockholder Approval Date (as defined in the Warrant Amendments), and that the amended Investor Warrants can be exercised via the cashless exercise mechanism. The other terms of such Investor Warrants shall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approve this Proposal 2 at the Special Meeting, such approval will be deemed the Stockholder Approval and the date of the Special Meeting will be the Stockholder Approval Date.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Rules 5635(d), the repricing of the Investor Warrants will only occur on the effective date of the approval of our stockholders of this Proposal 2 at the Special Meeting. In the event that the Stockholder Approval is not obtained, the Warrant Amendments will be null and void, and the provisions of the Investor Warrants in effect prior to the execution of the Warrant Amendments, including the exercise price and the expiration date, will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Although the exercise prices of the Investor Warrants were reduced, the aggregate number of shares of common stock which could be issued upon exercise will remain unchanged. In addition, pursuant to the terms of the Warrant Amendment, the holders of the Investor Warrants agreed not to exercise any of the Investor Warrants prior to the Company obtaining the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of the Warrant Amendments </w:t>
      </w:r>
    </w:p>
    <w:p>
      <w:pPr>
        <w:pStyle w:val="TextBody"/>
        <w:bidi w:val="0"/>
        <w:spacing w:before="120" w:after="0"/>
        <w:jc w:val="left"/>
        <w:rPr>
          <w:rFonts w:ascii="Times New Roman" w:hAnsi="Times New Roman"/>
          <w:sz w:val="20"/>
        </w:rPr>
      </w:pPr>
      <w:r>
        <w:rPr>
          <w:rFonts w:ascii="Times New Roman" w:hAnsi="Times New Roman"/>
          <w:sz w:val="20"/>
        </w:rPr>
        <w:t xml:space="preserve">We are asking stockholders to approve, for purposes of complying with Rule 5635(d), the repricing of: (i) the warrants to purchase an aggregate of 14,815 shares of Common Stock originally issued on March 31, 2025, with a current exercise price of $189.35 per share for non-Insiders, and $242.16 per share for the Placement Agent (both terms as defined hereunder) (the “Bridge Financing Warrants”); (ii) the warrants to purchase an aggregate of 21,470 shares of Common Stock originally issued on June 24, 2025, with a current exercise price of $94.50 per share (the “Bridge Extension Warrants”); (iii) the warrants to purchase an aggregate of 14,497 shares of Common Stock originally issued on May 20, 2025, with a current exercise price of $204.40 per share for investors, and $266.44 per share for the Placement Agent (the “2025 RDO Warrants”); and (iv) the warrants to purchase an aggregate of 10,000 shares of Common Stock originally issued on January 6, 2026, with a current exercise price of $35.00 per share (the “January 2026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(collectively, the “Investor Warrants”), so that each of the Investor Warrants has a new exercise price equal to $1.00 per share. The intent of repricing the Investor Warrants is to induce the holders of the Investor Warrants to exercise them, thereby eliminating the overhang caused by the prospective dilution under the Investor Warrants, which prospective dilution we believe could negatively impact our ability to consummate strategic alternatives currently under consideration to maximize stockholder value including, but are not limited to, mergers, reverse mergers, acquisitions, partnerships, joint ventures, licensing arrangements or other strategic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the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Investor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Bridge Financing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Reports on Form 8-K filed on March 26, 2025 and April 4, 2025, the Company entered into securities purchase agreements with selected accredited investors (the “Bridge Investors”) on March 26, 2025, pursuant to which the Company issued approximately $3.4 million aggregate principal amount of convertible promissory notes (the “Original Notes”) to the Bridge Investors in a private placement (the “Bridge Financing”) which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aforementioned securities purchase agreement, the Bridge Investors received warrants (the “Bridge Investor Warrants”) to purchase up to an aggregate of 16,497 shares of Common Stock with an exercise price equal to $189.35 per share for the Bridge Investors who were not an officer, director, employee or consultant of the Company (collectively, an “Insider”), and $190.05 per share for the Bridge Investors who were Insiders, in each case subject to adjustment for reclassification of the Common Stock, non-cash dividend, stock split, reverse stock split or other similar transaction. The warrants are exercisable immediately upon issuance and will expire on the earlier of (i) five years from the date of issuance, (ii) the consummation of a fundamental transaction and (iii) the consummation of a liquidation event (both as defined in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engaged H.C. Wainwright &amp; Co., LLC (“Wainwright”) to act as its exclusive placement agent in connection with the Bridge Financing. The Company agreed to issue to Wainwright or its designees (the “Placement Agent”), at the closing of the Bridge Financing, warrants (the “Bridge PA Warrants,” and together with the Bridge Investor Warrants, collectively the “Bridge Financing Warrants”) to purchase up to 1,068 shares of Common Stock. The Bridge PA Warrants have the same form and terms as the Bridge Investor Warrants except that the Bridge PA Warrants have an exercise price equal to $242.16 per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exercise for cash of any Bridge Investor Warrants, the Company shall issue to the Placement Agent the warrants to purchase that number of shares of Common Stock equal to 6.0% (or in the case of any warrant exercise by certain selected Bridge Investors, 3.5%) of the aggregate number of such shares of Common Stock underlying such Bridge Investor Warrants that have been so exercised and such warrants will be in the same form and terms as the Bridge PA Warrants originally issued. Assuming all of the outstanding Bridge Investor Warrants are exercised for cash, the Placement Agent shall receive warrants to purchase an aggregate of 1,068 shares of Common Stock, with an exercise price of $242.16 per share (the “Bridge PA Additional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Financing Warrants. Please refer to Exhibits 4.2 and 4.3 to the Company’s Current Report on Form 8-K filed on March 26, 2025 for the forms of the Bridge Investor Warrant and the Bridge PA Warrant,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the Insiders hold Bridge Investor Warrants to purchase up to an aggregate of 2,751 shares of Common Stock, the Company has not entered into Warrant Amendments with any Insider with respect to those Bridge Investor Warrants; nor does the Company have any plan to do so. Therefore those Bridge Investor Warrants held by the Insiders to purchase up to an aggregate of 2,751 shares of Common Stock are excluded from the proposed repricing described in this Proposal 2. </w:t>
      </w:r>
    </w:p>
    <w:p>
      <w:pPr>
        <w:pStyle w:val="TextBody"/>
        <w:bidi w:val="0"/>
        <w:spacing w:before="360" w:after="0"/>
        <w:jc w:val="left"/>
        <w:rPr>
          <w:rFonts w:ascii="Times New Roman" w:hAnsi="Times New Roman"/>
          <w:i/>
          <w:sz w:val="20"/>
        </w:rPr>
      </w:pPr>
      <w:r>
        <w:rPr>
          <w:rFonts w:ascii="Times New Roman" w:hAnsi="Times New Roman"/>
          <w:i/>
          <w:sz w:val="20"/>
        </w:rPr>
        <w:t xml:space="preserve">Bridge Extension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June 24, 2025, the Company entered into note exchange and warrant purchase agreements with certain of the Bridge Investors, including some Insiders (the “Bridge Extension Investors”), pursuant to which the Company agreed, among others, to issue and sell (a) approximately $2.57 million aggregate principal amount of new 6% convertible promissory notes (the “Replacement Notes”), in exchange for the cancellation of the Original Notes held by the Bridge Extension Investors, and (b) warrants to purchase shares of Common Stock (the “Bridge Extension Warrants”) to such investors, in a private placement closed on June 24, 2025 (the “Bridge Extension”). </w:t>
      </w:r>
    </w:p>
    <w:p>
      <w:pPr>
        <w:pStyle w:val="TextBody"/>
        <w:bidi w:val="0"/>
        <w:spacing w:before="240" w:after="0"/>
        <w:jc w:val="left"/>
        <w:rPr>
          <w:rFonts w:ascii="Times New Roman" w:hAnsi="Times New Roman"/>
          <w:sz w:val="20"/>
        </w:rPr>
      </w:pPr>
      <w:r>
        <w:rPr>
          <w:rFonts w:ascii="Times New Roman" w:hAnsi="Times New Roman"/>
          <w:sz w:val="20"/>
        </w:rPr>
        <w:t xml:space="preserve">The Bridge Extension Investors received the Bridge Extension Warrants to purchase up to an aggregate of 26,531 shares of Common Stock with an exercise price equal to $94.50 per share, subject to adjustment for reclassification of the Common Stock, non-cash dividend, stock split, reverse stock split or other similar transaction. The Bridge Extension Warrants are exercisable immediately upon the Initial Exercise Date (as define therein) and will expire on the earlier of (i) 18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Extension Warrants. Please refer to Exhibit 4.2 to the Company’s Current Report on Form 8-K filed on June 24, 2025 for the form of the Bridge Extension Warrant. </w:t>
      </w:r>
    </w:p>
    <w:p>
      <w:pPr>
        <w:pStyle w:val="TextBody"/>
        <w:bidi w:val="0"/>
        <w:spacing w:before="240" w:after="0"/>
        <w:jc w:val="left"/>
        <w:rPr>
          <w:rFonts w:ascii="Times New Roman" w:hAnsi="Times New Roman"/>
          <w:sz w:val="20"/>
        </w:rPr>
      </w:pPr>
      <w:r>
        <w:rPr>
          <w:rFonts w:ascii="Times New Roman" w:hAnsi="Times New Roman"/>
          <w:sz w:val="20"/>
        </w:rPr>
        <w:t xml:space="preserve">While the Insiders hold Bridge Extension Warrants to purchase up to an aggregate of 5,061 shares of Common Stock, the Company has not entered into Warrant Amendments with any Insider with respect to those Bridge Extension Warrants; nor does the Company have any plan to do so. Therefore those Bridge Extension Warrants held by the Insiders to purchase up to an aggregate of 5,061 shares of Common Stock are excluded from the proposed repricing described in this Proposal 2. </w:t>
      </w:r>
    </w:p>
    <w:p>
      <w:pPr>
        <w:pStyle w:val="TextBody"/>
        <w:bidi w:val="0"/>
        <w:spacing w:before="360" w:after="0"/>
        <w:jc w:val="left"/>
        <w:rPr>
          <w:rFonts w:ascii="Times New Roman" w:hAnsi="Times New Roman"/>
          <w:i/>
          <w:sz w:val="20"/>
        </w:rPr>
      </w:pPr>
      <w:r>
        <w:rPr>
          <w:rFonts w:ascii="Times New Roman" w:hAnsi="Times New Roman"/>
          <w:i/>
          <w:sz w:val="20"/>
        </w:rPr>
        <w:t xml:space="preserve">2025 RDO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May 22, 2025, the Company entered into a securities purchase agreement with the purchasers named therein (the “RDO Investors”) on May 20, 2025, pursuant to which the Company agreed to issue and sell, in a registered direct offering by the Company directly to the RDO Investors priced at-the-market under the rules of The Nasdaq Market (the “Registered Offering”), shares of Common Stock for aggregate gross proceeds of approximately $1,500,000. </w:t>
      </w:r>
    </w:p>
    <w:p>
      <w:pPr>
        <w:pStyle w:val="TextBody"/>
        <w:bidi w:val="0"/>
        <w:spacing w:before="240" w:after="0"/>
        <w:jc w:val="left"/>
        <w:rPr>
          <w:rFonts w:ascii="Times New Roman" w:hAnsi="Times New Roman"/>
          <w:sz w:val="20"/>
        </w:rPr>
      </w:pPr>
      <w:r>
        <w:rPr>
          <w:rFonts w:ascii="Times New Roman" w:hAnsi="Times New Roman"/>
          <w:sz w:val="20"/>
        </w:rPr>
        <w:t xml:space="preserve">In a concurrent private placement, the Company issued to the RDO Investors unregistered warrants to purchase up to 14,075 shares of Common Stock at an exercise price of $204.40 per share (the “RDO Investor Warrants”) that are immediately exercisable upon issuance and will expire on the earlier of (i) 24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Wainwright acted as placement agent in connection with the transactions described above. As part of the compensation for such placement agent services, the Company issued to Wainwright warrants (the “RDO PA Warrants,” and together with the RDO Investor Warrants, collectively the “2025 RDO Warrants”) to purchase an aggregate of 422 shares of Common Stock. The RDO PA Warrants have substantially the same terms as the RDO Investor Warrants, except that the RDO PA Warrants have an exercise price of $266.44.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upon any exercise for cash of any RDO Investor Warrants, the Company shall issue to the Placement Agent warrants to purchase that number of shares of Common Stock of the Company equal to six (6.0%) percent of the aggregate number of such shares of Common Stock underlying the RDO Investor Warrants that have been so exercised. Assuming all of the outstanding RDO Investor Warrants are exercised for cash, the Placement Agent shall receive warrants to purchase an aggregate of 844 shares of Common Stock, with an exercise price of $266.44 per share (the “RDO PA Additional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2025 RDO Warrants. Please refer to Exhibits 4.1 and 4.2 to the Company’s Current Report on Form 8-K filed on May 22, 2025 for the forms of the RDO Investor Warrant and the RDO PA Warrant,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January 2026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8-K/A filed on January 12, 2026, the Company entered into securities purchase agreements with two accredited investors (the “January 2026 Investors”) on January 6, 2026, pursuant to which the Company issued $350,000 aggregate principal amount of unsecured promissory notes to such investors.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securities purchase agreements, the January 2026 Investors received warrants (the “January 2026 Warrants”) to purchase up to an aggregate of 10,000 shares of Common Stock, with an exercise price equal to $35.00 per share, subject to adjustment for reclassification of the Common Stock, non-cash dividend, stock split, reverse stock split or other similar transaction. The January 2026 Warrants are exercisable immediately upon issuance and will expire on the earlier of (i) five years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January 2026 Warrants. Please refer to Exhibit 4.2 to the Company’s Current Report on Form 8-K/A filed on January 12, 2026 for the form of the January 2026 Warrant. </w:t>
      </w:r>
    </w:p>
    <w:p>
      <w:pPr>
        <w:pStyle w:val="TextBody"/>
        <w:bidi w:val="0"/>
        <w:spacing w:before="360" w:after="0"/>
        <w:jc w:val="left"/>
        <w:rPr>
          <w:rFonts w:ascii="Times New Roman" w:hAnsi="Times New Roman"/>
          <w:i/>
          <w:sz w:val="20"/>
        </w:rPr>
      </w:pPr>
      <w:r>
        <w:rPr>
          <w:rFonts w:ascii="Times New Roman" w:hAnsi="Times New Roman"/>
          <w:i/>
          <w:sz w:val="20"/>
        </w:rPr>
        <w:t xml:space="preserve">Series O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4, 2026, the Company paid a special one time dividend of one-tenth of one share of Series O Convertible Preferred Stock, par value $0.0001 per share (the “Series O Preferred Stock”) for each shares of Common Stock outstanding, plus each share issuable upon exercise of certain warrants to purchase shares of Common Stock with dividend rights (the “Eligible Warrants”) outstanding, at the close of business on March 2, 2026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 completed the conversion (the “Conversion”) of the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of the Investor Warrants constitute Eligible Warrants. Immediately upon completion of the Conversion, holders of the Investor Warrants are entitled to receive, upon exercise of the Investor Warrants, up to 743,442 shares of Common Stock, which consist of 60,781 Warrant Shares (as defined in the Investor Warrants) and 682,661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is a table showing the maximum number of shares of Common Stock that may potentially be issued upon exercise of the Investor Warrants, assuming that all of the Investor Warrants are exercised for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terms of each Investor Warrant provide for limitations on exercise, such that the holder along with its affiliates may not beneficially own more than 4.99% (or 9.99%, at the election of the holder) of the shares of the Company’s Common Stock outstanding immediately after giving effect to such exercise. The terms of the Certificate of Designation of Preferences, Rights and Limitations of Series O Convertible Preferred Stock (the “Certificate of Designation of Series O Preferred Stock”) provide that in no event may shares of Common Stock be issued to any holder of the Series O Preferred Stock to cause such holder’s beneficial ownership to exceed 19.99% of the number of shares of Common Stock outstanding on a given date (including for such purpose the shares of Common Stock issuable upon such issuance). The table below sets forth the numbers of shares of Common Stock without regard to any beneficial ownership limitations contained in the Investor Warrants or the Certificate of Designation of Series O Preferred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15"/>
        <w:gridCol w:w="120"/>
        <w:gridCol w:w="131"/>
        <w:gridCol w:w="1749"/>
        <w:gridCol w:w="290"/>
      </w:tblGrid>
      <w:tr>
        <w:trPr/>
        <w:tc>
          <w:tcPr>
            <w:tcW w:w="7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Investor Warrants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60,781</w:t>
            </w:r>
          </w:p>
        </w:tc>
        <w:tc>
          <w:tcPr>
            <w:tcW w:w="290" w:type="dxa"/>
            <w:tcBorders/>
            <w:shd w:fill="CCEEFF" w:val="clear"/>
            <w:vAlign w:val="center"/>
          </w:tcPr>
          <w:p>
            <w:pPr>
              <w:pStyle w:val="TableContents"/>
              <w:bidi w:val="0"/>
              <w:spacing w:before="0" w:after="283"/>
              <w:jc w:val="left"/>
              <w:rPr/>
            </w:pPr>
            <w:r>
              <w:rPr/>
              <w:t> </w:t>
            </w:r>
          </w:p>
        </w:tc>
      </w:tr>
      <w:tr>
        <w:trPr/>
        <w:tc>
          <w:tcPr>
            <w:tcW w:w="7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Conversion Shares that Holders of Investor Warrants are Entitled to Receive as a Result of the Series O Preferred Stock Dividend</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682,661</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Bridge PA Additional Warrants*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1,068</w:t>
            </w:r>
          </w:p>
        </w:tc>
        <w:tc>
          <w:tcPr>
            <w:tcW w:w="290" w:type="dxa"/>
            <w:tcBorders/>
            <w:shd w:fill="CCEEFF" w:val="clear"/>
            <w:vAlign w:val="center"/>
          </w:tcPr>
          <w:p>
            <w:pPr>
              <w:pStyle w:val="TableContents"/>
              <w:bidi w:val="0"/>
              <w:spacing w:before="0" w:after="283"/>
              <w:jc w:val="left"/>
              <w:rPr/>
            </w:pPr>
            <w:r>
              <w:rPr/>
              <w:t> </w:t>
            </w:r>
          </w:p>
        </w:tc>
      </w:tr>
      <w:tr>
        <w:trPr/>
        <w:tc>
          <w:tcPr>
            <w:tcW w:w="7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RDO PA Additional Warrants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844</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Issuable</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1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Exercise of the Investor Warrants for Cash</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745,354</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Exercise of the Investor Warrants for Cash (After Giving Effect to Such Exercise)*</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13.3</w:t>
            </w:r>
          </w:p>
        </w:tc>
        <w:tc>
          <w:tcPr>
            <w:tcW w:w="290" w:type="dxa"/>
            <w:tcBorders/>
            <w:shd w:fill="CCEEFF" w:val="clear"/>
            <w:vAlign w:val="center"/>
          </w:tcPr>
          <w:p>
            <w:pPr>
              <w:pStyle w:val="TableContents"/>
              <w:bidi w:val="0"/>
              <w:spacing w:before="0" w:after="283"/>
              <w:jc w:val="left"/>
              <w:rPr/>
            </w:pPr>
            <w:r>
              <w:rPr/>
              <w:t>% </w:t>
            </w:r>
          </w:p>
        </w:tc>
      </w:tr>
      <w:tr>
        <w:trPr/>
        <w:tc>
          <w:tcPr>
            <w:tcW w:w="7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double" w:sz="6" w:space="1" w:color="000000"/>
              </w:pBdr>
              <w:bidi w:val="0"/>
              <w:spacing w:before="0" w:after="0"/>
              <w:jc w:val="left"/>
              <w:rPr/>
            </w:pPr>
            <w:r>
              <w:rPr/>
              <w:t> </w:t>
            </w:r>
          </w:p>
        </w:tc>
        <w:tc>
          <w:tcPr>
            <w:tcW w:w="1749"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Bridge PA Additional Warrants is based on the assumption that all of the outstanding Bridge Investor Warrants are exercised for cash.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RDO PA Additional Warrants is based on the assumption that all of the outstanding RDO Investor Warrants are exercised for cash. </w:t>
            </w:r>
          </w:p>
        </w:tc>
      </w:tr>
    </w:tbl>
    <w:tbl>
      <w:tblPr>
        <w:tblW w:w="9130" w:type="dxa"/>
        <w:jc w:val="left"/>
        <w:tblInd w:w="0" w:type="dxa"/>
        <w:tblLayout w:type="fixed"/>
        <w:tblCellMar>
          <w:top w:w="0" w:type="dxa"/>
          <w:left w:w="0" w:type="dxa"/>
          <w:bottom w:w="0" w:type="dxa"/>
          <w:right w:w="0" w:type="dxa"/>
        </w:tblCellMar>
      </w:tblPr>
      <w:tblGrid>
        <w:gridCol w:w="395"/>
        <w:gridCol w:w="8735"/>
      </w:tblGrid>
      <w:tr>
        <w:trPr/>
        <w:tc>
          <w:tcPr>
            <w:tcW w:w="395"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July 6, 2026, which was 4,857,211.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Nasdaq Listing Rule 5635(d) </w:t>
      </w:r>
    </w:p>
    <w:p>
      <w:pPr>
        <w:pStyle w:val="TextBody"/>
        <w:bidi w:val="0"/>
        <w:spacing w:before="120" w:after="0"/>
        <w:jc w:val="left"/>
        <w:rPr>
          <w:rFonts w:ascii="Times New Roman" w:hAnsi="Times New Roman"/>
          <w:sz w:val="20"/>
        </w:rPr>
      </w:pPr>
      <w:r>
        <w:rPr>
          <w:rFonts w:ascii="Times New Roman" w:hAnsi="Times New Roman"/>
          <w:sz w:val="20"/>
        </w:rPr>
        <w:t xml:space="preserve">Pursuant to Nasdaq Listing Rule 5635(d), stockholder approval is required prior to a 20% Issuance at a price that is less than the Minimum Price. For purposes of Nasdaq Listing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Nasdaq Listing Rule 5635(d).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July 6, 2026, there were 4,857,211 shares of our Common Stock issued and outstanding. Accordingly, assuming the full exercise of the Investor Warrants for cash and the full exercise of the Bridge PA Additional Warrants and the RDO PA Additional Warrants as of such date, the issuance of the Warrant Shares along with the Conversion Shares that the holders of the Investor Warrants are entitled to receive, which are up to an aggregate of 745,354 shares of Common Stock (the “Maximum Issuable Shares”), could result in the issuance of shares of Common Stock to the holders of the Investor Warrants that represents approximately 13.3% of our Common Stock outstanding prior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While the Maximum Issuable Shares constitute less than 20% of our outstanding shares of Common Stock, the Repriced Exercise Price as contemplated in the Warrant Amendments is less than $1.03, the Minimum Price of the Company’s Common Stock as of July 24,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Maximum Issuable Shares could be subject to aggregation, pursuant to Nasdaq Listing Rule 5635(d),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In such an event, our issuance of additional shares of Common Stock would be subject to stockholder approval under Nasdaq Listing Rule 5635(d) (including rules related to the aggregation of offerings thereunder) to the extent that the Maximum Issuable Shares together with the shares issued in such prior or subsequent offerings exceeded 19.99%. Therefore, we are seeking stockholder approval, for purposes of Nasdaq Listing Rule 5635(d), for the repricing of the exercise prices of the Investor Warrants to a new exercise price equal to $1.00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approve this proposal, (i) the current exercise prices of the Investor Warrants will be repriced to $1.00 per share, as contemplated in the Warrant Amendments, (ii) the other provisions of the Warrant Amendments will also be effective and binding, including but not limited to, that the Investor Warrants will have a new expiration date which is the 30th day following the Stockholder Approval Date; and (iii) the issuance of the Maximum Issuable Shares would not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do not approve this proposal, (i) the Warrant Amendments will be null and void, and the exercise prices and expiration dates of the Investor Warrants currently in effect will remain unchanged, and (ii) the issuance of the Maximum Issuable Shares would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unless such transaction is approved by the Company’s stockholders for purposes of Rule 5635(d).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this proposal is approved and if the Investor Warrants are exercised by the holders for cash, we would receive the proceeds from such exercises. If this proposal is not approved, since the current exercise prices of the Investor Warrants are substantially higher than the prevailing market prices for our Common Stock, it is unlikely that the Investor Warrants will be exercised and we will receive any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it will be more likely that the Investor Warrants will be exercised, which will result in the issuance of part or all of the Warrant Shares and Conversion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of the Investor Warrants will have a dilutive effect on our current stockholders in that the percentage ownership of the Company held by our current stockholders would decline as a result of the issuance of additional shares of our Common Stock upon exercise of the Investor Warrants. As a result, our current stockholders would own a smaller proportionate interest in the Company and therefore have less ability to influence corporate decisions requiring stockholder approval. The issuance of the Warrant Shares and Conversion Shares upon exercise of the Investor Warrants could also have a dilutive effect on our book value per share and on any future earnings per share, and the sale or any resale of such shares could cause prevailing market prices for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approve the repricing of the Investor Warrants with exercise prices ranging from $35.00 to $266.44 per share, so that each of the Investor Warrants has a new exercise price equal to $1.00 (this Proposal 2),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that the stockholders vote “FOR” Proposal 2 to authorize, for purposes of Nasdaq Listing Rule 5635(d), the repricing of the Investor Warrants with exercise prices ranging from $35.00 to $266.44 per share, so that each of the Investor Warrants has a new exercise price equal to $1.00, which Investor Warrants when exercised will also entitle such investors to receive up to 682,661 shares of Common Stock from the Series O Preferred Stock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3 - APPROVAL OF AN AMENDMENT OF THE 2014 STOCK INCENTIVE PLAN TO INCREASE THE NUMBER OF SHARES AUTHORIZED FOR ISSUANCE UNDER THE 2014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stockholders will be asked to approve an amendment of the 2014 Stock Incentive Plan (the “2014 Plan”) to increase the number of shares of Common Stock authorized for issuance under the 2014 Plan to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A copy of the amended 2014 Plan is attached hereto as Annex B and is incorporated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22, 2026, the Board unanimously approved the amendment of the 2014 Plan, subject to approval by the stockholders, to increase the number of shares of Common Stock authorized for issuance under the 2014 Plan to 14% of the issued and outstanding shares of Common Stock on a fully diluted basis as of September 30, 2026. The Board has directed that the proposal to amend the 2014 Plan be submitted to the stockholders for their approval at the Special Meeting. The Board believes that our interests and the interests of our stockholders will be advanced if we can continue to offer our employees, notably at the senior management level, advisors, consultants, and non-employee directors the opportunity to acquire or increase their proprietary interests in us. The Board has concluded that our ability to attract, retain and motivate top quality management and employees is material to our success and would be enhanced by our continued ability to grant equity compensation under the 2014 Plan. Accordingly, the Board has determined that the number of shares available for issuance under the 2014 Plan should be increased so that we may continue our compensation structure and strategy and succession planning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the 2014 Plan, options awards and restricted stock units are outstanding for a total of 9,866 shares that have been granted to employees, directors and consultants. Thus, the total number of shares currently available for issuance under the 2014 Plan as of July 6, 2026 is 10,591 shares, which equals approximately 0.17% of the issued and outstanding shares of Common Stock on a fully diluted basis as of July 6, 2026. If stockholders approve this Proposal 3, the total number of shares available for future stock awards under the 2014 Plan will be 14% of the issued and outstanding shares of Common Stock on a fully diluted basis as of September 30, 2026. Of the total number of shares allocated to the 2014 Plan, including the share increase that is the subject of this Proposal 3, the maximum aggregate number of shares that may be issued pursuant to the exercise of incentive stock options within the meaning of Section 422(b) of the Internal Revenue Code of 1986, as amended (the “Code”), shall not exceed 410,000 shares. Based on current forecasts and estimated stock award grant rates, if the increase is not approved, it is anticipated that the 2014 Plan could run out of available shares as soon as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amendment and restatement of the 2014 Plan is being sought (i) in order for incentive stock options to meet the requirements of the Code, and (ii) in order to meet The Nasdaq Capital Market listing requirements. If the stockholders do not approve the amendment and restatement of the 2014 Plan at the Special Meeting, the amendment and restatement of the 2014 Plan will not become effective, the number of shares authorized for issuance under the 2014 Plan will not be increased.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with respect to grants to certain executive officers in Fiscal Year 2025 under the 2014 Plan, see page 37 of our definitive proxy statement on Schedule 14A, relating to our Annual Meeting of Stockholders adjourned on May 22, 2026 and June 2, 2026 and reconvened on June 8, 2026, filed on April 30, 2026, amended and supplemented by the supplements to the definitive proxy statement filed on May 6, 2026 and May 29, 2026, respectively (the “2026 Annual Proxy Statement”), and for information with respect to grants to our non-employee directors, see page 49 of our 2026 Annual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material terms of the proposed amendment of the 2014 Plan are summarized below. This summary of the 2014 Plan is not intended to be a complete description of the 2014 Plan. This summary is qualified in its entirety by the actual text of the 2014 Plan to which reference is made. A copy of the 2014 Plan is attached as Annex B 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Terms of the 2014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2014, our Board of Directors and our stockholders adopted and approved the 2014 Plan. The 2014 Plan became effective in May 2015. The 2014 Plan provides for the grant of incentive stock options to our Eligible Employees, and for the grant of nonstatutory stock options, restricted stock, and RSUs to Eligible Employees, directors and consultants. </w:t>
      </w:r>
    </w:p>
    <w:p>
      <w:pPr>
        <w:pStyle w:val="TextBody"/>
        <w:bidi w:val="0"/>
        <w:spacing w:before="240" w:after="0"/>
        <w:jc w:val="left"/>
        <w:rPr>
          <w:rFonts w:ascii="Times New Roman" w:hAnsi="Times New Roman"/>
          <w:sz w:val="20"/>
        </w:rPr>
      </w:pPr>
      <w:r>
        <w:rPr>
          <w:rFonts w:ascii="Times New Roman" w:hAnsi="Times New Roman"/>
          <w:b/>
          <w:i/>
          <w:sz w:val="20"/>
        </w:rPr>
        <w:t>Authorized Shares.</w:t>
      </w:r>
      <w:r>
        <w:rPr>
          <w:rFonts w:ascii="Times New Roman" w:hAnsi="Times New Roman"/>
          <w:sz w:val="20"/>
        </w:rPr>
        <w:t xml:space="preserve"> In 2025, we approved an increase of 307,670 shares of Common Stock for issuance pursuant to the 2014 Plan, which equaled approximately 14% of the issued and outstanding shares of Common Stock on a fully diluted basis as of July 18, 2025. Since the prior amendment of the 2014 Plan, we have unanimously approved the amendment of the 2014 Plan as described in this Proposal 3, subject to stockholder approval, to further increase the number of shares of our Common Stock authorized for issuance.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2014 Plan, on January 1 of each year, up to and including January 1, 2036, the number of shares allocated to the 2014 Plan automatically increases in an amount equal to 5% of the total number of shares of common stock outstanding on December 31 of the preceding calendar year (the “Evergreen Provision”). The Board of Directors may act prior to January 1 of any given year, at its discretion, to provide for no increase in shares or to add a lesser number of shares than provided for in the prior sentence. </w:t>
      </w:r>
    </w:p>
    <w:p>
      <w:pPr>
        <w:pStyle w:val="TextBody"/>
        <w:bidi w:val="0"/>
        <w:spacing w:before="240" w:after="0"/>
        <w:jc w:val="left"/>
        <w:rPr>
          <w:rFonts w:ascii="Times New Roman" w:hAnsi="Times New Roman"/>
          <w:sz w:val="20"/>
        </w:rPr>
      </w:pPr>
      <w:r>
        <w:rPr>
          <w:rFonts w:ascii="Times New Roman" w:hAnsi="Times New Roman"/>
          <w:sz w:val="20"/>
        </w:rPr>
        <w:t xml:space="preserve">If a stock award expires without having been exercised in full, or, with respect to restricted stock and RSUs, a stock award is forfeited, the shares that were subject to those stock awards will become available for future grant or sale under the 2014 Plan (unless the 2014 Plan has terminated). If unvested shares of restricted stock or RSUs are repurchased by the company or are forfeited to the company, such shares will become available for future awards under the 2014 Plan. </w:t>
      </w:r>
    </w:p>
    <w:p>
      <w:pPr>
        <w:pStyle w:val="TextBody"/>
        <w:bidi w:val="0"/>
        <w:spacing w:before="240" w:after="0"/>
        <w:jc w:val="left"/>
        <w:rPr>
          <w:rFonts w:ascii="Times New Roman" w:hAnsi="Times New Roman"/>
          <w:sz w:val="20"/>
        </w:rPr>
      </w:pPr>
      <w:r>
        <w:rPr>
          <w:rFonts w:ascii="Times New Roman" w:hAnsi="Times New Roman"/>
          <w:b/>
          <w:i/>
          <w:sz w:val="20"/>
        </w:rPr>
        <w:t>Plan Administration.</w:t>
      </w:r>
      <w:r>
        <w:rPr>
          <w:rFonts w:ascii="Times New Roman" w:hAnsi="Times New Roman"/>
          <w:sz w:val="20"/>
        </w:rPr>
        <w:t xml:space="preserve"> The 2014 Plan is administered by the Compensation Committee. If we determine it is desirable to qualify transactions under the 2014 Plan as exempt under Rule 16b-3, such transactions will be structured to satisfy the requirements for exemption under Rule 16b-3. Subject to the provisions of the 2014 Plan, the committee has the power to administer the 2014 Plan, including but not limited to, the power to interpret the terms of the 2014 Plan and stock awards granted under it, to create, amend and revoke rules relating to the 2014 Plan, including creating sub-plans, and to determine the terms of the awards, including the exercise price, the number of shares subject to each such award, the exercisability of the awards and the form of consideration, if any, payable upon exercise. </w:t>
      </w:r>
    </w:p>
    <w:p>
      <w:pPr>
        <w:pStyle w:val="TextBody"/>
        <w:bidi w:val="0"/>
        <w:spacing w:before="24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Both incentive stock options qualifying under Section 422 of the Code and non-statutory stock options may be granted under the 2014 Plan. Of the total number of shares allocated to the 2014 Plan, the maximum aggregate number of shares that may be issued pursuant to the exercise of incentive stock options shall not exceed 410,000 shares. The exercise price of options granted under the 2014 Plan must at least be equal to the fair market value of the Common Stock on the date of grant. The term of an incentive stock option may not exceed ten years, except that with respect to any participant who owns more than 10% of the voting power of all classes of our outstanding stock, the term must not exceed five years and the exercise price must equal at least 110% of the fair market value on the grant date. For nonstatutory stock options the exercise price must equal at least 100% of the fair market value. The committee will determine the methods of payment of the exercise price of an option, which may include cash, shares or other property acceptable to the committee, as well as other types of consideration permitted by applicable law. After the termination of service of an employee, director or consultant, he or she may exercise the vested portion of his or her option for the period of time stated in his or her award agreement, except in the case of an employee terminated for cause (as defined in the 2014 Plan) the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terminate upon his or her termination from service. Generally, if termination is due to death or disability, the vested portion of the option will remain exercisable for 12 months. In all other cases, the vested portion of the option generally will remain exercisable for three months following the termination of service. An option may not be exercised after expiration of its term. However, if the exercise of an option is prevented by applicable law the exercise period may be extended under certain circumstances. Subject to the provisions of the 2014 Plan, the committee determines the other terms of options. </w:t>
      </w:r>
    </w:p>
    <w:p>
      <w:pPr>
        <w:pStyle w:val="TextBody"/>
        <w:bidi w:val="0"/>
        <w:spacing w:before="240" w:after="0"/>
        <w:jc w:val="left"/>
        <w:rPr>
          <w:rFonts w:ascii="Times New Roman" w:hAnsi="Times New Roman"/>
          <w:sz w:val="20"/>
        </w:rPr>
      </w:pPr>
      <w:r>
        <w:rPr>
          <w:rFonts w:ascii="Times New Roman" w:hAnsi="Times New Roman"/>
          <w:b/>
          <w:i/>
          <w:sz w:val="20"/>
        </w:rPr>
        <w:t>Restricted Stock.</w:t>
      </w:r>
      <w:r>
        <w:rPr>
          <w:rFonts w:ascii="Times New Roman" w:hAnsi="Times New Roman"/>
          <w:sz w:val="20"/>
        </w:rPr>
        <w:t xml:space="preserve"> Restricted stock awards may be granted under the 2014 Plan. Restricted stock awards are grants of shares of Common Stock that vest in accordance with terms and conditions established by the committee. The committee will determine the number of shares of restricted stock granted to any employee, director or consultant and, subject to the provisions of the 2014 Plan, will determine the terms and conditions of such awards. The committee may impose whatever conditions to vesting it determines to be appropriate (for example, the committee may set restrictions based on the achievement of specific performance goals or continued service to us); provided, however, that the committee, in its sole discretion, may accelerate the time at which any restrictions will lapse or be removed. Recipients of restricted stock awards generally will have voting and dividend rights with respect to such shares upon grant without regard to vesting, unless the committee provides otherwise. Shares of restricted stock that do not vest are subject to our right of repurchase or forfeiture.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Awards of RSUs may be granted under the 2014 Plan. An RSU is the right to receive a share of Common Stock at a future date. The committee determines the terms and conditions of RSUs, including the vesting criteria (which may include accomplishing specified performance criteria or continued service to us) and the form and timing of payment. Notwithstanding the foregoing, the committee, in its sole discretion, may accelerate the time at which RSUs will vest. </w:t>
      </w:r>
    </w:p>
    <w:p>
      <w:pPr>
        <w:pStyle w:val="TextBody"/>
        <w:bidi w:val="0"/>
        <w:spacing w:before="240" w:after="0"/>
        <w:jc w:val="left"/>
        <w:rPr>
          <w:rFonts w:ascii="Times New Roman" w:hAnsi="Times New Roman"/>
          <w:sz w:val="20"/>
        </w:rPr>
      </w:pPr>
      <w:r>
        <w:rPr>
          <w:rFonts w:ascii="Times New Roman" w:hAnsi="Times New Roman"/>
          <w:b/>
          <w:i/>
          <w:sz w:val="20"/>
        </w:rPr>
        <w:t>Non-Transferability of Awards.</w:t>
      </w:r>
      <w:r>
        <w:rPr>
          <w:rFonts w:ascii="Times New Roman" w:hAnsi="Times New Roman"/>
          <w:sz w:val="20"/>
        </w:rPr>
        <w:t xml:space="preserve"> Unless the committee provides otherwise, stock awards issued under the 2014 Plan are not transferrable other than by will or the laws of descent and distribution, and only the recipient of an award may exercise an award during his or her lifetime, although a recipient may designate a beneficiary to exercise an award after death. </w:t>
      </w:r>
    </w:p>
    <w:p>
      <w:pPr>
        <w:pStyle w:val="TextBody"/>
        <w:bidi w:val="0"/>
        <w:spacing w:before="240" w:after="0"/>
        <w:jc w:val="left"/>
        <w:rPr>
          <w:rFonts w:ascii="Times New Roman" w:hAnsi="Times New Roman"/>
          <w:sz w:val="20"/>
        </w:rPr>
      </w:pPr>
      <w:r>
        <w:rPr>
          <w:rFonts w:ascii="Times New Roman" w:hAnsi="Times New Roman"/>
          <w:b/>
          <w:i/>
          <w:sz w:val="20"/>
        </w:rPr>
        <w:t>Certain Adjustments.</w:t>
      </w:r>
      <w:r>
        <w:rPr>
          <w:rFonts w:ascii="Times New Roman" w:hAnsi="Times New Roman"/>
          <w:sz w:val="20"/>
        </w:rPr>
        <w:t xml:space="preserve"> In the event of certain changes in the capitalization, to prevent diminution or enlargement of the benefits or potential benefits available under the 2014 Plan, the committee will adjust the number and class of shares that may be delivered under the 2014 Plan and/or the number, class and price of shares covered by each outstanding award, and the numerical share limits set forth in the 2014 Plan. In the event of the proposed liquidation or dissolution, the committee will notify participants as soon as practicable and all awards will terminate immediately prior to the consummation of such proposed transaction. </w:t>
      </w:r>
    </w:p>
    <w:p>
      <w:pPr>
        <w:pStyle w:val="TextBody"/>
        <w:bidi w:val="0"/>
        <w:spacing w:before="240" w:after="0"/>
        <w:jc w:val="left"/>
        <w:rPr>
          <w:rFonts w:ascii="Times New Roman" w:hAnsi="Times New Roman"/>
          <w:sz w:val="20"/>
        </w:rPr>
      </w:pPr>
      <w:r>
        <w:rPr>
          <w:rFonts w:ascii="Times New Roman" w:hAnsi="Times New Roman"/>
          <w:b/>
          <w:i/>
          <w:sz w:val="20"/>
        </w:rPr>
        <w:t>Merger or Change in Control.</w:t>
      </w:r>
      <w:r>
        <w:rPr>
          <w:rFonts w:ascii="Times New Roman" w:hAnsi="Times New Roman"/>
          <w:sz w:val="20"/>
        </w:rPr>
        <w:t xml:space="preserve"> The 2014 Plan provides that in the event of a merger or change in control, as defined under the 2014 Plan, each outstanding award will be treated as the committee determines, including (i) the assumption, continuation or substitution of the stock awards by the successor corporation or its parent or subsidiary, (ii) the acceleration of vesting for any unvested portion of the stock awards, or (iii) the cash-out of the stock awards. </w:t>
      </w:r>
    </w:p>
    <w:p>
      <w:pPr>
        <w:pStyle w:val="TextBody"/>
        <w:bidi w:val="0"/>
        <w:spacing w:before="240" w:after="0"/>
        <w:jc w:val="left"/>
        <w:rPr>
          <w:rFonts w:ascii="Times New Roman" w:hAnsi="Times New Roman"/>
          <w:sz w:val="20"/>
        </w:rPr>
      </w:pPr>
      <w:r>
        <w:rPr>
          <w:rFonts w:ascii="Times New Roman" w:hAnsi="Times New Roman"/>
          <w:b/>
          <w:i/>
          <w:sz w:val="20"/>
        </w:rPr>
        <w:t>Amendment; Termination.</w:t>
      </w:r>
      <w:r>
        <w:rPr>
          <w:rFonts w:ascii="Times New Roman" w:hAnsi="Times New Roman"/>
          <w:sz w:val="20"/>
        </w:rPr>
        <w:t xml:space="preserve"> The Board has the authority to amend, suspend or terminate the 2014 Plan provided such action does not impair the existing rights of any participant. As amended, the 2014 Plan will expire ten (10) years from the earlier of the date the Plan is most recently adopted by the Board or the date the Plan is duly approved by the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the general principal United States federal income tax consequences applicable to our 2014 Plan participants and the Company, and is based upon an interpretation of present federal tax laws and regulations and may be inapplicable if such laws and regulations are changed. This summary is not intended to be exhaustive or constitute tax advice and does not describe state, local or foreign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any awards under the 2014 Plan are subject to Section 409A of the Internal Revenue Code, the following description assumes that such awards will be designed to conform to the requirements of Section 409A of the Internal Revenue Code and the regulations promulgated thereunder (or an exception thereto). The 2014 Plan is not subject to the protective provisions of the Employee Retirement Income Security Act of 1974 and is not qualified under Section 401(a)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The grantee of an Incentive Stock Option under the 2014 Plan will not be required to recognize any income for federal income tax purposes at the time of award nor is the Company entitled to any deduction. The exercise of an Incentive Stock Option is also not a taxable event, although the difference between the option price and the fair market value on the date of exercise is an item of tax preference for purposes of determining the grantee’s alternative minimum tax. If stock acquired upon exercise of an Incentive Stock Option is held for two years from the date the option was granted and one year from the date the stock was transferred to the grantee (the “ISO Holding Period”), then the grantee will have a long-term capital gain or loss on the sale of such stock measured by the difference between the amount realized and the option price. If the ISO Holding Period is not met, upon disposition of such shares (a “disqualifying disposition”), the grantee will realize compensation taxable as ordinary income in an amount equal to the excess of the fair market value of the shares at the time of exercise over the option price, limited, however, to the gain on sale. Any additional gain would be taxable as long-term or short-term capital gain depending on the holding period. If the Incentive Stock Option is exercised by delivery of previously owned shares of capital stock in partial or full payment of the option price, no gain or loss will ordinarily be recognized by the grantee on the transfer of such previously owned shares. However, if the previously owned shares transferred were acquired through the exercise of an Incentive Stock Option, the grantee may realize ordinary income with respect to the shares used to exercise an Incentive Stock Option if such transferred shares have not been held for the ISO Holding Period. If the grantee recognizes ordinary income upon a disqualifying disposition, except as described in Limitations on Company’s Deductions, below, the Company will generally be entitled to a tax deduction in the same amount. </w:t>
      </w:r>
    </w:p>
    <w:p>
      <w:pPr>
        <w:pStyle w:val="TextBody"/>
        <w:bidi w:val="0"/>
        <w:spacing w:before="240" w:after="0"/>
        <w:jc w:val="left"/>
        <w:rPr>
          <w:rFonts w:ascii="Times New Roman" w:hAnsi="Times New Roman"/>
          <w:sz w:val="20"/>
        </w:rPr>
      </w:pPr>
      <w:r>
        <w:rPr>
          <w:rFonts w:ascii="Times New Roman" w:hAnsi="Times New Roman"/>
          <w:sz w:val="20"/>
        </w:rPr>
        <w:t xml:space="preserve">The grantee of a Nonstatutory Stock Option under the 2014 Plan will not be required to recognize any income for federal income tax purposes at the time of award nor is the Company then entitled to any deduction. Upon exercise of a Nonstatutory Stock Option, the grantee will realize compensation taxable as ordinary income in an amount measured by the excess, if any, of the fair market value of the shares on the date of exercise over the option price. Except as described in Limitations on Company’s Deductions, below, the Company will generally be entitled to a deduction in the same amount and at the same time. Upon the sale of shares acquired on exercise of a Nonstatutory Stock Option, the grantee will realize short-term or long-term capital gain (or loss) depending on the holding period. If the exercise price of a Nonstatutory Stock Option is paid in whole or in part in shares of capital stock, the tax results to the grantee are (i) a tax-free exchange of previously owned shares for an equivalent number of new shares, and (ii) the realization of ordinary income in an amount equal to the fair market value on the date of exercise of any additional shares received in excess of the number exchanged. </w:t>
      </w:r>
    </w:p>
    <w:p>
      <w:pPr>
        <w:pStyle w:val="TextBody"/>
        <w:bidi w:val="0"/>
        <w:spacing w:before="24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grantee of a Restricted Stock Award under the 2014 Plan normally will not be required to recognize any income for federal income tax purposes at the time of the Award, nor is the Company entitled to any deduction, to the extent that the shares awarded have not vested. When any part of a Restricted Stock Award vests, the grantee will realize compensation taxable as ordinary income in an amount equal to the fair market value of the vested shares on the vesting date. The grantee may, however, make an election (the “Tax Election”), within thirty days following the grant of the Restricted Stock Award, to be taxed at the time of the Award based on the fair market value of the shares on that date. Except as described in Limitations on Company’s Deductions, below, the Company will generally be entitled to a deduction in the same amount and at the same time that the grantee recognizes ordinary income. Upon the sale of the shares awarded,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The grantee of an RSU will not be required to recognize any income for federal income tax purposes at the time of the grant of such RSU, nor is the Company entitled to any deduction at such time. When any part of an RSU is paid (in the case of cash) or delivered (in the case of shares) to the grantee, the grantee will realize compensation taxable as ordinary income in an amount equal to the cash paid or the fair market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to the grantee pursuant to the RSU. Except as described in Limitations on Company’s Deductions, below, the Company will be entitled to a deduction in the same amount and at the same time that the grantee recognizes ordinary income. Upon the sale of any shares that are delivered to the grantee pursuant to an RSU,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Limitations on Company</w:t>
      </w:r>
      <w:r>
        <w:rPr>
          <w:rFonts w:ascii="Times New Roman" w:hAnsi="Times New Roman"/>
          <w:sz w:val="20"/>
        </w:rPr>
        <w:t>’</w:t>
      </w:r>
      <w:r>
        <w:rPr>
          <w:rFonts w:ascii="Times New Roman" w:hAnsi="Times New Roman"/>
          <w:b/>
          <w:i/>
          <w:sz w:val="20"/>
        </w:rPr>
        <w:t>s Deductions; Consequences of Change in Control.</w:t>
      </w:r>
      <w:r>
        <w:rPr>
          <w:rFonts w:ascii="Times New Roman" w:hAnsi="Times New Roman"/>
          <w:sz w:val="20"/>
        </w:rPr>
        <w:t xml:space="preserve"> The Company and its subsidiaries may lose a compensation deduction, which would otherwise be allowable, for all or a part of compensation paid in the form of awards under the 2014 Plan, if, the employee is the Chief Executive Officer or Chief Financial Officer of the Company (or acts in such capacity) or is another “covered employee” as defined under the Code or was such an employee beginning in any year after 2017, if the total compensation paid to such employee exceeds $1,000,000. In addition, if a “change in control” of the Company causes awards under the 2014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Awards of stock options, restricted stock and RSUs under the 2014 Plan may, in certain instances, result in the deferral of compensation that is subject to the requirements of Section 409A of the Code. Generally, to the extent that these awards fail to meet certain requirements under Section 409A, the regulations issued thereunder or an exception thereto, the award recipient will be subject to immediate taxation and tax penalties in the year the award vests. It is our intent that awards under the 2014 Plan will be structured and administered in a manner that complies with the requirements of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2014 Plan, if approved by our stockholders, will become effective on the date of such stockholder approval, 2026. The Company has made grants previously and intends to continue to make grants under the 2014 Plan until such time as the Board determines otherwise or the 2014 Plan expires by its terms. As the amendment and restatement to the 2014 Plan is discretionary, it is not possible to determine the amounts that may be received by the participants under the 2014 Plan in the event the amendment and restatement to the 2014 Plan is approved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amendment and restatement of the 2014 Plan to increase the number of shares of Common Stock authorized for issuance under the 2014 Plan to 14% of the issued and outstanding shares of Common Stock on a fully diluted basis as of September 30, 2026 (this Proposal 3), the affirmative vote of the holders of a majority in voting power of the votes cast at the Special Meeting by the holders entitled to vote thereon,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that the holders of 1/3 in voting power of our capital stock issued and outstanding and entitled to vote at the Special Meeting be present in person or represented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3 to approve the amendment and restatement of the 2014 Plan to increase the number of shares of Common Stock authorized for issuance under the 2014 Plan to 14% of the issued and outstanding shares of Common Stock on a fully diluted basis as of September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4 - APPROVAL TO ADJOURN THE SPECIAL MEETING IF NECESSARY TO SOLICIT ADDITIONAL PROXIES </w:t>
      </w:r>
    </w:p>
    <w:p>
      <w:pPr>
        <w:pStyle w:val="TextBody"/>
        <w:bidi w:val="0"/>
        <w:spacing w:before="240" w:after="0"/>
        <w:jc w:val="left"/>
        <w:rPr>
          <w:rFonts w:ascii="Times New Roman" w:hAnsi="Times New Roman"/>
          <w:sz w:val="20"/>
        </w:rPr>
      </w:pPr>
      <w:r>
        <w:rPr>
          <w:rFonts w:ascii="Times New Roman" w:hAnsi="Times New Roman"/>
          <w:sz w:val="20"/>
        </w:rPr>
        <w:t xml:space="preserve">Although it is not expected, the Special Meeting may be adjourned for the purpose of soliciting additional proxies. Any such adjournment of the Special Meeting may be made without notice, other than by the announcement made at the Special Meeting, by approval of either the chairperson of the Special Meeting or the holders of a majority in voting power of the outstanding shares of our Common Stock and Series Q Preferred Stock (on an as converted to Common Stock basis but subject to the 9.99% Voting Cap), present in person or represented by proxy and entitled to vote at the Special Meeting, whether or not a quorum exists. We are soliciting proxies to approve one or more adjournments of the Special Meeting, if necessary, for the purpose of soliciting additional proxies in favor of Proposals 1, 2 and 3. The chairperson will have the discretion to decide whether or not to submit this Proposal 4 to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adjournment of the Special Meeting, if necessary, for the purpose of soliciting additional proxies in favor of Proposals 1, 2 and 3 (this Proposal 4),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4 to adjourn the Special Meeting, if necessary, to solicit additional proxies in favor of Proposals 1, 2 and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 14a-8, in order for stockholder proposals intended to be presented at the 2027 Annual Meeting of Stockholders to be eligible for inclusion in our proxy statement for such meeting, they must be received by us at our executive offices in San Francisco, California, before January 4, 2027. The board of directors has not determined the date of the 2027 Annual Meeting of the Company’s Stockholders, but does not currently anticipate that the date will be changed by more than 30 calendar days from the date of the 2027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(including recommendations of nominees for election to the board of directors) intended to be presented at the 2027 Annual Meeting of Stockholders, other than a stockholder proposal submitted pursuant to SEC Rule 14a-8, must be received in writing at our principal executive office no earlier than January 22, 2027 and no later than February 22, 2027, in accordance with our bylaws. If the date of the 2027 Annual Meeting of Stockholders is scheduled for a date more than 30 days before or more than 60 days after May 22, 2027, then such proposals must be received not later than the close of business on the later of the 90th day prior to the scheduled date of the 2027 Annual Meeting or the 10th day following the day on which public disclosure of the date of the 2027 Annual Meeting of Stockholders is first made, as set forth in our bylaws. </w:t>
      </w:r>
    </w:p>
    <w:p>
      <w:pPr>
        <w:pStyle w:val="TextBody"/>
        <w:bidi w:val="0"/>
        <w:spacing w:before="480" w:after="0"/>
        <w:jc w:val="center"/>
        <w:rPr>
          <w:rFonts w:ascii="Times New Roman" w:hAnsi="Times New Roman"/>
          <w:b/>
          <w:sz w:val="20"/>
        </w:rPr>
      </w:pPr>
      <w:r>
        <w:rPr>
          <w:rFonts w:ascii="Times New Roman" w:hAnsi="Times New Roman"/>
          <w:b/>
          <w:sz w:val="20"/>
        </w:rPr>
        <w:t>AVAILABILITY OF ANNUAL REPORT TO STOCKHOLDERS AND REPORT ON FORM 10-K</w:t>
      </w:r>
    </w:p>
    <w:p>
      <w:pPr>
        <w:pStyle w:val="TextBody"/>
        <w:bidi w:val="0"/>
        <w:spacing w:before="240" w:after="0"/>
        <w:jc w:val="left"/>
        <w:rPr>
          <w:rFonts w:ascii="Times New Roman" w:hAnsi="Times New Roman"/>
          <w:sz w:val="20"/>
        </w:rPr>
      </w:pPr>
      <w:r>
        <w:rPr>
          <w:rFonts w:ascii="Times New Roman" w:hAnsi="Times New Roman"/>
          <w:sz w:val="20"/>
        </w:rPr>
        <w:t xml:space="preserve">Copies of our Annual Report (exclusive of exhibits and documents incorporated by reference) may be obtained for free by directing written requests to: Jaguar Health, Inc., Attention: Jonathan S. Wolin, 200 Pine Street, Suite 400, San Francisco, CA 94104 (415.371.8300 phone). Copies of exhibits and basic documents filed with the Annual Report or referenced therein will be furnished to stockholders upon written request and payment of a nominal fee in connection with the furnishing of such documents. You may also obtain the Annual Report over the Internet at the SEC’s website, www.sec.gov, or at https://jaguarhealth.gcs-web.com/financial-information/annual-reports. </w:t>
      </w:r>
    </w:p>
    <w:p>
      <w:pPr>
        <w:pStyle w:val="TextBody"/>
        <w:bidi w:val="0"/>
        <w:spacing w:before="480" w:after="0"/>
        <w:jc w:val="center"/>
        <w:rPr>
          <w:rFonts w:ascii="Times New Roman" w:hAnsi="Times New Roman"/>
          <w:b/>
          <w:sz w:val="20"/>
        </w:rPr>
      </w:pPr>
      <w:r>
        <w:rPr>
          <w:rFonts w:ascii="Times New Roman" w:hAnsi="Times New Roman"/>
          <w:b/>
          <w:sz w:val="20"/>
        </w:rPr>
        <w:t xml:space="preserve">LIST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list of our stockholders as of July 6, 2026, the Record Date, will be available for inspection at our corporate headquarters during normal business hours during the 10-day period prior to the Special Meeting. The list of stockholders will also be available for such examination at the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DELIVERY OF PROXY MATERIALS TO HOUSEHOLDS </w:t>
      </w:r>
    </w:p>
    <w:p>
      <w:pPr>
        <w:pStyle w:val="TextBody"/>
        <w:bidi w:val="0"/>
        <w:spacing w:before="240" w:after="0"/>
        <w:jc w:val="left"/>
        <w:rPr>
          <w:rFonts w:ascii="Times New Roman" w:hAnsi="Times New Roman"/>
          <w:sz w:val="20"/>
        </w:rPr>
      </w:pPr>
      <w:r>
        <w:rPr>
          <w:rFonts w:ascii="Times New Roman" w:hAnsi="Times New Roman"/>
          <w:sz w:val="20"/>
        </w:rPr>
        <w:t xml:space="preserve">Unless contrary instructions are received, we may send a single copy of the Proxy Statement and Notice of Special Meeting to any household at which two or more stockholders reside if we believe the stockholders are members of the same family. Each stockholder in the household will continue to receive a separate proxy card. This process is known as “householding” and helps reduce the volume of duplicate information received at a single household, which reduces costs and expenses borne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receive a separate set of our annual disclosure documents this year or in future years, follow the instructions described below and we will deliver promptly a separate set. Similarly, if you share an address with another stockholder and the two of you would like to receive only a single set of our annual disclosure documents, follow the instructions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own name, please contact our transfer agent by writing to them at Equiniti Trust Company, LLC, 55 Challenger Road, Floor 2, Ridgefield Park, NJ 07660 (Attn: Jaguar Health, Inc. Representative), calling 1-800-937-5449, or emailing helpast@equiniti.com.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200"/>
        <w:gridCol w:w="91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bank, broker or other nominee holds your shares, please contact your bank, broker or other nominee directly. </w:t>
            </w:r>
          </w:p>
        </w:tc>
      </w:tr>
    </w:tbl>
    <w:p>
      <w:pPr>
        <w:pStyle w:val="TextBody"/>
        <w:bidi w:val="0"/>
        <w:spacing w:before="0" w:after="0"/>
        <w:jc w:val="left"/>
        <w:rPr/>
      </w:pPr>
      <w:r>
        <w:rPr/>
        <w:t> </w:t>
      </w:r>
    </w:p>
    <w:tbl>
      <w:tblPr>
        <w:tblW w:w="3786" w:type="dxa"/>
        <w:jc w:val="left"/>
        <w:tblInd w:w="0" w:type="dxa"/>
        <w:tblLayout w:type="fixed"/>
        <w:tblCellMar>
          <w:top w:w="0" w:type="dxa"/>
          <w:left w:w="0" w:type="dxa"/>
          <w:bottom w:w="0" w:type="dxa"/>
          <w:right w:w="0" w:type="dxa"/>
        </w:tblCellMar>
      </w:tblPr>
      <w:tblGrid>
        <w:gridCol w:w="3786"/>
      </w:tblGrid>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By Order of the Board of Directors.</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drawing>
                <wp:inline distT="0" distB="0" distL="0" distR="0">
                  <wp:extent cx="2346960" cy="5670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6960" cy="567055"/>
                          </a:xfrm>
                          <a:prstGeom prst="rect">
                            <a:avLst/>
                          </a:prstGeom>
                        </pic:spPr>
                      </pic:pic>
                    </a:graphicData>
                  </a:graphic>
                </wp:inline>
              </w:drawing>
            </w:r>
            <w:r>
              <w:rPr/>
              <w:t xml:space="preserve"> </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Lisa A. Conte</w:t>
            </w:r>
          </w:p>
        </w:tc>
      </w:tr>
      <w:tr>
        <w:trPr/>
        <w:tc>
          <w:tcPr>
            <w:tcW w:w="3786" w:type="dxa"/>
            <w:tcBorders/>
            <w:vAlign w:val="center"/>
          </w:tcPr>
          <w:p>
            <w:pPr>
              <w:pStyle w:val="TableContents"/>
              <w:bidi w:val="0"/>
              <w:spacing w:before="0" w:after="283"/>
              <w:jc w:val="left"/>
              <w:rPr>
                <w:i/>
              </w:rPr>
            </w:pPr>
            <w:r>
              <w:rPr>
                <w:i/>
              </w:rPr>
              <w:t>Chief Executive Officer &amp;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PURCHASE WARRANTS </w:t>
      </w:r>
    </w:p>
    <w:p>
      <w:pPr>
        <w:pStyle w:val="TextBody"/>
        <w:bidi w:val="0"/>
        <w:spacing w:before="240" w:after="0"/>
        <w:jc w:val="left"/>
        <w:rPr>
          <w:rFonts w:ascii="Times New Roman" w:hAnsi="Times New Roman"/>
          <w:sz w:val="20"/>
        </w:rPr>
      </w:pPr>
      <w:r>
        <w:rPr>
          <w:rFonts w:ascii="Times New Roman" w:hAnsi="Times New Roman"/>
          <w:sz w:val="20"/>
        </w:rPr>
        <w:t>This AMENDMENT TO COMMON STOCK PURCHASE WARRANTS (this “</w:t>
      </w:r>
      <w:r>
        <w:rPr>
          <w:rFonts w:ascii="Times New Roman" w:hAnsi="Times New Roman"/>
          <w:sz w:val="20"/>
          <w:u w:val="single"/>
        </w:rPr>
        <w:t>Amendment</w:t>
      </w:r>
      <w:r>
        <w:rPr>
          <w:rFonts w:ascii="Times New Roman" w:hAnsi="Times New Roman"/>
          <w:sz w:val="20"/>
        </w:rPr>
        <w:t>”) is entered into as of     , 2026, by and between Jaguar Health, Inc., a Delaware corporation (the “</w:t>
      </w:r>
      <w:r>
        <w:rPr>
          <w:rFonts w:ascii="Times New Roman" w:hAnsi="Times New Roman"/>
          <w:sz w:val="20"/>
          <w:u w:val="single"/>
        </w:rPr>
        <w:t>Company</w:t>
      </w:r>
      <w:r>
        <w:rPr>
          <w:rFonts w:ascii="Times New Roman" w:hAnsi="Times New Roman"/>
          <w:sz w:val="20"/>
        </w:rPr>
        <w:t>”), and [    ] (the “</w:t>
      </w:r>
      <w:r>
        <w:rPr>
          <w:rFonts w:ascii="Times New Roman" w:hAnsi="Times New Roman"/>
          <w:sz w:val="20"/>
          <w:u w:val="single"/>
        </w:rPr>
        <w:t>Holder</w:t>
      </w:r>
      <w:r>
        <w:rPr>
          <w:rFonts w:ascii="Times New Roman" w:hAnsi="Times New Roman"/>
          <w:sz w:val="20"/>
        </w:rPr>
        <w:t xml:space="preserve">”). All share and per share amounts of the Common Stock (as defined hereunder) in this Amendment have been retroactively adjusted to give effect to the 1-for-35 reverse stock split of the Company’s issued and outstanding shares of Common Stock that took effect on April 30, 2026.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Holder is the holder of the common stock purchase warrants listed under </w:t>
      </w:r>
      <w:r>
        <w:rPr>
          <w:rFonts w:ascii="Times New Roman" w:hAnsi="Times New Roman"/>
          <w:sz w:val="20"/>
          <w:u w:val="single"/>
        </w:rPr>
        <w:t>Exhibit A</w:t>
      </w:r>
      <w:r>
        <w:rPr>
          <w:rFonts w:ascii="Times New Roman" w:hAnsi="Times New Roman"/>
          <w:sz w:val="20"/>
        </w:rPr>
        <w:t xml:space="preserve"> to this Amendment, previously issued by the Company, each to acquire up to such number of shares (the “</w:t>
      </w:r>
      <w:r>
        <w:rPr>
          <w:rFonts w:ascii="Times New Roman" w:hAnsi="Times New Roman"/>
          <w:sz w:val="20"/>
          <w:u w:val="single"/>
        </w:rPr>
        <w:t>Warrant Shares</w:t>
      </w:r>
      <w:r>
        <w:rPr>
          <w:rFonts w:ascii="Times New Roman" w:hAnsi="Times New Roman"/>
          <w:sz w:val="20"/>
        </w:rPr>
        <w:t>”) of voting common stock of the Company, par value $0.001 per share (the “</w:t>
      </w:r>
      <w:r>
        <w:rPr>
          <w:rFonts w:ascii="Times New Roman" w:hAnsi="Times New Roman"/>
          <w:sz w:val="20"/>
          <w:u w:val="single"/>
        </w:rPr>
        <w:t>Common Stock</w:t>
      </w:r>
      <w:r>
        <w:rPr>
          <w:rFonts w:ascii="Times New Roman" w:hAnsi="Times New Roman"/>
          <w:sz w:val="20"/>
        </w:rPr>
        <w:t xml:space="preserve">”), as indicated under </w:t>
      </w:r>
      <w:r>
        <w:rPr>
          <w:rFonts w:ascii="Times New Roman" w:hAnsi="Times New Roman"/>
          <w:sz w:val="20"/>
          <w:u w:val="single"/>
        </w:rPr>
        <w:t>Exhibit A</w:t>
      </w:r>
      <w:r>
        <w:rPr>
          <w:rFonts w:ascii="Times New Roman" w:hAnsi="Times New Roman"/>
          <w:sz w:val="20"/>
        </w:rPr>
        <w:t xml:space="preserve"> (collectively, the “</w:t>
      </w:r>
      <w:r>
        <w:rPr>
          <w:rFonts w:ascii="Times New Roman" w:hAnsi="Times New Roman"/>
          <w:sz w:val="20"/>
          <w:u w:val="single"/>
        </w:rPr>
        <w:t>Amended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12 of each of the Amended Warrants, the terms of the Amended Warrants may be amended or waived with the written consent of the Company, on the one hand, and the Holder, on the other hand;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 desire to amend the Amended Warrants as set forth in this Amendment;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Nasdaq Listing Rule 5635(d), the amendment to the exercise price of the Amended Warrants, as contemplated in Section 1 hereunder, may not take effect unless and until it is approved by the stockholders of the Company;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agrees to hold a special meeting of its stockholders (the “Stockholder Meeting”) to, inter alia, approve the amendments to the Amended Warrants as set forth in this Amendment (the “</w:t>
      </w:r>
      <w:r>
        <w:rPr>
          <w:rFonts w:ascii="Times New Roman" w:hAnsi="Times New Roman"/>
          <w:sz w:val="20"/>
          <w:u w:val="single"/>
        </w:rPr>
        <w:t>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contained herein and other good and valuable consideration, the receipt and sufficiency of which are hereby acknowledged, and intending to be legally bound hereby, the Company and the Holder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to “Exercise Price”</w:t>
      </w:r>
      <w:r>
        <w:rPr>
          <w:rFonts w:ascii="Times New Roman" w:hAnsi="Times New Roman"/>
          <w:sz w:val="20"/>
        </w:rPr>
        <w:t>. If the Company’s stockholders approve the terms of this Amendment at the Stockholder Meeting (such date of approval, the “</w:t>
      </w:r>
      <w:r>
        <w:rPr>
          <w:rFonts w:ascii="Times New Roman" w:hAnsi="Times New Roman"/>
          <w:sz w:val="20"/>
          <w:u w:val="single"/>
        </w:rPr>
        <w:t>Stockholder Approval Date</w:t>
      </w:r>
      <w:r>
        <w:rPr>
          <w:rFonts w:ascii="Times New Roman" w:hAnsi="Times New Roman"/>
          <w:sz w:val="20"/>
        </w:rPr>
        <w:t xml:space="preserve">”), the second and third sentences of the second paragraph of the preamble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For purposes of this Warrant, the term “Exercise Price” with respect to the Warrant Shares issued hereunder shall, subject to adjustment under Section 2 below, be $1.00, and the term ‘</w:t>
      </w:r>
      <w:r>
        <w:rPr>
          <w:rFonts w:ascii="Times New Roman" w:hAnsi="Times New Roman"/>
          <w:sz w:val="20"/>
          <w:u w:val="single"/>
        </w:rPr>
        <w:t>Exercise Period</w:t>
      </w:r>
      <w:r>
        <w:rPr>
          <w:rFonts w:ascii="Times New Roman" w:hAnsi="Times New Roman"/>
          <w:sz w:val="20"/>
        </w:rPr>
        <w:t xml:space="preserve">’ shall mean the period commencing on the Issuance Date and ending on the Expiration Date (as defined in Section 6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to “Cashless Exercise”</w:t>
      </w:r>
      <w:r>
        <w:rPr>
          <w:rFonts w:ascii="Times New Roman" w:hAnsi="Times New Roman"/>
          <w:sz w:val="20"/>
        </w:rPr>
        <w:t xml:space="preserve">. If the Company’s stockholders approve the terms of this Amendment at the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(a) the first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Only for purposes of further clarity, the following is a redlined comparison of the first paragraph of Section 1(b) of each of the Amended Warrants before and after the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w:t>
      </w:r>
      <w:r>
        <w:rPr>
          <w:rFonts w:ascii="Times New Roman" w:hAnsi="Times New Roman"/>
          <w:strike/>
          <w:color w:val="FF0200"/>
          <w:sz w:val="20"/>
        </w:rPr>
        <w:t xml:space="preserve">Solely in the event that if at any time after ninety (90) calendar days following the Execution Date of the Purchase Agreement there is no effective registration statement registering, or the prospectus contained therein is not available for the resale of the Warrant Shares, then this </w:t>
      </w:r>
      <w:r>
        <w:rPr>
          <w:rFonts w:ascii="Times New Roman" w:hAnsi="Times New Roman"/>
          <w:color w:val="1E3AFF"/>
          <w:sz w:val="20"/>
          <w:u w:val="single"/>
          <w:bdr w:val="double" w:sz="2" w:space="1" w:color="000000"/>
        </w:rPr>
        <w:t>This</w:t>
      </w:r>
      <w:r>
        <w:rPr>
          <w:rFonts w:ascii="Times New Roman" w:hAnsi="Times New Roman"/>
          <w:sz w:val="20"/>
        </w:rPr>
        <w:t xml:space="preserve">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(b) the last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Notwithstanding anything herein to the contrary, on the Expiration Date,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Only for purposes of further clarity, the following is a redlined comparison of the last paragraph of Section 1(b) of each of the Amended Warrants before and after the amendment: </w:t>
      </w:r>
    </w:p>
    <w:p>
      <w:pPr>
        <w:pStyle w:val="TextBody"/>
        <w:bidi w:val="0"/>
        <w:spacing w:before="120" w:after="0"/>
        <w:jc w:val="left"/>
        <w:rPr/>
      </w:pPr>
      <w:r>
        <w:rPr/>
        <w:t>“</w:t>
      </w:r>
      <w:r>
        <w:rPr>
          <w:rFonts w:ascii="Times New Roman" w:hAnsi="Times New Roman"/>
          <w:sz w:val="20"/>
        </w:rPr>
        <w:t xml:space="preserve">Notwithstanding anything herein to the contrary, on the </w:t>
      </w:r>
      <w:r>
        <w:rPr>
          <w:rFonts w:ascii="Times New Roman" w:hAnsi="Times New Roman"/>
          <w:strike/>
          <w:color w:val="FF0200"/>
          <w:sz w:val="20"/>
        </w:rPr>
        <w:t>Termination Date</w:t>
      </w:r>
      <w:r>
        <w:rPr>
          <w:rFonts w:ascii="Times New Roman" w:hAnsi="Times New Roman"/>
          <w:sz w:val="20"/>
        </w:rPr>
        <w:t xml:space="preserve"> </w:t>
      </w:r>
      <w:r>
        <w:rPr>
          <w:rFonts w:ascii="Times New Roman" w:hAnsi="Times New Roman"/>
          <w:color w:val="1E3AFF"/>
          <w:sz w:val="20"/>
          <w:u w:val="single"/>
          <w:bdr w:val="double" w:sz="2" w:space="1" w:color="000000"/>
        </w:rPr>
        <w:t>Expiration Date</w:t>
      </w:r>
      <w:r>
        <w:rPr>
          <w:rFonts w:ascii="Times New Roman" w:hAnsi="Times New Roman"/>
          <w:sz w:val="20"/>
        </w:rPr>
        <w:t xml:space="preserv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The form of the Notice of Exercise is attached hereto as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to “Expiration Date” Defined Term</w:t>
      </w:r>
      <w:r>
        <w:rPr>
          <w:rFonts w:ascii="Times New Roman" w:hAnsi="Times New Roman"/>
          <w:sz w:val="20"/>
        </w:rPr>
        <w:t xml:space="preserve">. If the Company’s stockholders approve the terms of this Amendment at the Stockholder Meeting, Section 6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6. </w:t>
      </w:r>
      <w:r>
        <w:rPr>
          <w:rFonts w:ascii="Times New Roman" w:hAnsi="Times New Roman"/>
          <w:sz w:val="20"/>
          <w:u w:val="single"/>
        </w:rPr>
        <w:t>EXPIRATION OF WARRANT</w:t>
      </w:r>
      <w:r>
        <w:rPr>
          <w:rFonts w:ascii="Times New Roman" w:hAnsi="Times New Roman"/>
          <w:sz w:val="20"/>
        </w:rPr>
        <w:t>. This Warrant shall expire and shall no longer be exercisable on the 30th calendar day following the Stockholder Approval Date (as defined in that certain Amendment to Common Stock Purchase Warrants, dated as of     , 2026, by and between the Company and the Holder) (the “</w:t>
      </w:r>
      <w:r>
        <w:rPr>
          <w:rFonts w:ascii="Times New Roman" w:hAnsi="Times New Roman"/>
          <w:sz w:val="20"/>
          <w:u w:val="single"/>
        </w:rPr>
        <w:t>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Further Amendment</w:t>
      </w:r>
      <w:r>
        <w:rPr>
          <w:rFonts w:ascii="Times New Roman" w:hAnsi="Times New Roman"/>
          <w:sz w:val="20"/>
        </w:rPr>
        <w:t xml:space="preserve">. Except as amended by this Amendment, the Amended Warrants remain unaltered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to Effectiveness of this Amendment</w:t>
      </w:r>
      <w:r>
        <w:rPr>
          <w:rFonts w:ascii="Times New Roman" w:hAnsi="Times New Roman"/>
          <w:sz w:val="20"/>
        </w:rPr>
        <w:t xml:space="preserve">. This Amendment shall be effective upon the Company obtaining the approval of the amendments to the Amended Warrants set forth herein by the Company’s stockholders at the Stockholder Meeting. In the event that the Company’s stockholders shall not approve the amendments to the Amended Warrants as set forth in this Amendment at the Stockholder Meeting, this Amendment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Amendment shall be governed by and construed and enforced in accordance with the internal laws of the State of New York, without regard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will be deemed an original and all of which together will constitute one and the same instrument. Signatures delivered by facsimile, electronic mail (including as a PDF file) or other transmission method shall be deemed to be original signatures, shall be valid and binding, and, upon delivery, shall constitute due execution of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Company and the Holder has caused this Amendment to be executed by its officer thereunto duly authorized as of the date first above indicated. </w:t>
      </w:r>
    </w:p>
    <w:p>
      <w:pPr>
        <w:pStyle w:val="TextBody"/>
        <w:bidi w:val="0"/>
        <w:spacing w:before="0" w:after="0"/>
        <w:jc w:val="left"/>
        <w:rPr/>
      </w:pPr>
      <w:r>
        <w:rPr/>
        <w:t> </w:t>
      </w:r>
    </w:p>
    <w:tbl>
      <w:tblPr>
        <w:tblW w:w="2209" w:type="dxa"/>
        <w:jc w:val="left"/>
        <w:tblInd w:w="0" w:type="dxa"/>
        <w:tblLayout w:type="fixed"/>
        <w:tblCellMar>
          <w:top w:w="0" w:type="dxa"/>
          <w:left w:w="0" w:type="dxa"/>
          <w:bottom w:w="0" w:type="dxa"/>
          <w:right w:w="0" w:type="dxa"/>
        </w:tblCellMar>
      </w:tblPr>
      <w:tblGrid>
        <w:gridCol w:w="1553"/>
        <w:gridCol w:w="291"/>
        <w:gridCol w:w="365"/>
      </w:tblGrid>
      <w:tr>
        <w:trPr/>
        <w:tc>
          <w:tcPr>
            <w:tcW w:w="15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JAGUAR HEALTH, INC.</w:t>
            </w:r>
          </w:p>
        </w:tc>
      </w:tr>
      <w:tr>
        <w:trPr/>
        <w:tc>
          <w:tcPr>
            <w:tcW w:w="1553" w:type="dxa"/>
            <w:tcBorders/>
            <w:vAlign w:val="center"/>
          </w:tcPr>
          <w:p>
            <w:pPr>
              <w:pStyle w:val="TableContents"/>
              <w:bidi w:val="0"/>
              <w:spacing w:before="0" w:after="283"/>
              <w:jc w:val="left"/>
              <w:rPr>
                <w:sz w:val="4"/>
                <w:szCs w:val="4"/>
              </w:rPr>
            </w:pPr>
            <w:r>
              <w:rPr>
                <w:sz w:val="4"/>
                <w:szCs w:val="4"/>
              </w:rPr>
            </w:r>
          </w:p>
        </w:tc>
        <w:tc>
          <w:tcPr>
            <w:tcW w:w="656" w:type="dxa"/>
            <w:gridSpan w:val="2"/>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HOLDER</w:t>
            </w:r>
          </w:p>
        </w:tc>
      </w:tr>
      <w:tr>
        <w:trPr/>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w:t>
            </w:r>
          </w:p>
        </w:tc>
      </w:tr>
      <w:tr>
        <w:trPr/>
        <w:tc>
          <w:tcPr>
            <w:tcW w:w="1553" w:type="dxa"/>
            <w:tcBorders/>
            <w:vAlign w:val="center"/>
          </w:tcPr>
          <w:p>
            <w:pPr>
              <w:pStyle w:val="TableContents"/>
              <w:bidi w:val="0"/>
              <w:spacing w:before="0" w:after="283"/>
              <w:jc w:val="left"/>
              <w:rPr>
                <w:sz w:val="4"/>
                <w:szCs w:val="4"/>
              </w:rPr>
            </w:pPr>
            <w:r>
              <w:rPr>
                <w:sz w:val="4"/>
                <w:szCs w:val="4"/>
              </w:rPr>
            </w:r>
          </w:p>
        </w:tc>
        <w:tc>
          <w:tcPr>
            <w:tcW w:w="656" w:type="dxa"/>
            <w:gridSpan w:val="2"/>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to Common Stock Purchase Warrant]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SUMMARY OF THE AMENDED WARRANTS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to Amendment to Common Stock Purchase Warrant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NOTICE OF EXERCISE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425"/>
        <w:gridCol w:w="2105"/>
      </w:tblGrid>
      <w:tr>
        <w:trPr/>
        <w:tc>
          <w:tcPr>
            <w:tcW w:w="425" w:type="dxa"/>
            <w:tcBorders/>
            <w:vAlign w:val="center"/>
          </w:tcPr>
          <w:p>
            <w:pPr>
              <w:pStyle w:val="TableContents"/>
              <w:bidi w:val="0"/>
              <w:spacing w:before="0" w:after="283"/>
              <w:jc w:val="left"/>
              <w:rPr/>
            </w:pPr>
            <w:r>
              <w:rPr/>
              <w:t>TO:</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JAGUAR HEALTH, INC.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376" w:type="dxa"/>
        <w:jc w:val="left"/>
        <w:tblInd w:w="0" w:type="dxa"/>
        <w:tblLayout w:type="fixed"/>
        <w:tblCellMar>
          <w:top w:w="0" w:type="dxa"/>
          <w:left w:w="0" w:type="dxa"/>
          <w:bottom w:w="0" w:type="dxa"/>
          <w:right w:w="0" w:type="dxa"/>
        </w:tblCellMar>
      </w:tblPr>
      <w:tblGrid>
        <w:gridCol w:w="38"/>
        <w:gridCol w:w="120"/>
        <w:gridCol w:w="6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tbl>
      <w:tblPr>
        <w:tblW w:w="376" w:type="dxa"/>
        <w:jc w:val="left"/>
        <w:tblInd w:w="0" w:type="dxa"/>
        <w:tblLayout w:type="fixed"/>
        <w:tblCellMar>
          <w:top w:w="0" w:type="dxa"/>
          <w:left w:w="0" w:type="dxa"/>
          <w:bottom w:w="0" w:type="dxa"/>
          <w:right w:w="0" w:type="dxa"/>
        </w:tblCellMar>
      </w:tblPr>
      <w:tblGrid>
        <w:gridCol w:w="38"/>
        <w:gridCol w:w="120"/>
        <w:gridCol w:w="6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Accredited Investor</w:t>
      </w:r>
      <w:r>
        <w:rPr>
          <w:rFonts w:ascii="Times New Roman" w:hAnsi="Times New Roman"/>
          <w:sz w:val="20"/>
        </w:rPr>
        <w:t xml:space="preserv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I to Amendment to Common Stock Purchase Warrant </w:t>
      </w:r>
      <w:r>
        <w:br w:type="page"/>
      </w:r>
    </w:p>
    <w:p>
      <w:pPr>
        <w:pStyle w:val="HorizontalLine"/>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0" w:after="0"/>
        <w:jc w:val="center"/>
        <w:rPr>
          <w:rFonts w:ascii="Times New Roman" w:hAnsi="Times New Roman"/>
          <w:sz w:val="20"/>
        </w:rPr>
      </w:pPr>
      <w:r>
        <w:rPr>
          <w:rFonts w:ascii="Times New Roman" w:hAnsi="Times New Roman"/>
          <w:sz w:val="20"/>
        </w:rPr>
        <w:t xml:space="preserve">JAGUAR HEALTH, INC. </w:t>
      </w:r>
    </w:p>
    <w:p>
      <w:pPr>
        <w:pStyle w:val="TextBody"/>
        <w:bidi w:val="0"/>
        <w:spacing w:before="240" w:after="0"/>
        <w:jc w:val="center"/>
        <w:rPr>
          <w:rFonts w:ascii="Times New Roman" w:hAnsi="Times New Roman"/>
          <w:sz w:val="20"/>
        </w:rPr>
      </w:pPr>
      <w:r>
        <w:rPr>
          <w:rFonts w:ascii="Times New Roman" w:hAnsi="Times New Roman"/>
          <w:sz w:val="20"/>
        </w:rPr>
        <w:t xml:space="preserve">2014 STOCK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EFFECTIVE JULY 22, 2026 </w:t>
      </w:r>
    </w:p>
    <w:p>
      <w:pPr>
        <w:pStyle w:val="TextBody"/>
        <w:bidi w:val="0"/>
        <w:spacing w:before="240" w:after="0"/>
        <w:jc w:val="left"/>
        <w:rPr>
          <w:rFonts w:ascii="Times New Roman" w:hAnsi="Times New Roman"/>
          <w:sz w:val="20"/>
        </w:rPr>
      </w:pPr>
      <w:r>
        <w:rPr>
          <w:rFonts w:ascii="Times New Roman" w:hAnsi="Times New Roman"/>
          <w:sz w:val="20"/>
        </w:rPr>
        <w:t xml:space="preserve">1. ESTABLISHMENT, PURPOSE AND TERM OF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Establishment</w:t>
      </w:r>
      <w:r>
        <w:rPr>
          <w:rFonts w:ascii="Times New Roman" w:hAnsi="Times New Roman"/>
          <w:sz w:val="20"/>
        </w:rPr>
        <w:t xml:space="preserve">. The Plan was originally established effective as of May 12, 2015, was amended and restated effective October 1, 2019, further amended effective May 15, 2020 and amended and restated effective May 14, 2023, further amended and restated effective June 21, 2024 and July 11, 2025.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Purpose</w:t>
      </w:r>
      <w:r>
        <w:rPr>
          <w:rFonts w:ascii="Times New Roman" w:hAnsi="Times New Roman"/>
          <w:sz w:val="20"/>
        </w:rPr>
        <w:t xml:space="preserve">. The purpose of the Plan is to advance the interests of the Participating Company Group and its shareholders by providing an incentive to attract, retain and reward persons performing services for the Participating Company Group and by motivating such persons to contribute to the growth and profitability of the Participating Company Group. The Company intends that Awards granted pursuant to the Plan be exempt from or comply with Section 409A of the Code (including any amendments or replacements of such section), and the Plan shall be so construed.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Term of Plan</w:t>
      </w:r>
      <w:r>
        <w:rPr>
          <w:rFonts w:ascii="Times New Roman" w:hAnsi="Times New Roman"/>
          <w:sz w:val="20"/>
        </w:rPr>
        <w:t xml:space="preserve">. The Plan shall continue in effect until its termination by the Board; provided, however, that all Awards shall be granted, if at all, within ten (10) years from the earlier of the date the Plan is most recently adopted by the Board or the date the Plan is duly approved by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DEFINITIONS AND CONSTRUCTION.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1933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1934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Applicable Laws</w:t>
      </w:r>
      <w:r>
        <w:rPr>
          <w:rFonts w:ascii="Times New Roman" w:hAnsi="Times New Roman"/>
          <w:sz w:val="20"/>
        </w:rPr>
        <w:t xml:space="preserve">” means the requirements relating to the administration of equity-based awards under U.S. federal and state corporate laws, U.S. federal and state securities laws, the Code, any stock exchange or quotation system on which the Company’s common stock is listed or quoted and the applicable laws of any foreign country or jurisdiction where Awards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w:t>
      </w:r>
      <w:r>
        <w:rPr>
          <w:rFonts w:ascii="Times New Roman" w:hAnsi="Times New Roman"/>
          <w:sz w:val="20"/>
        </w:rPr>
        <w:t xml:space="preserve">” means an Option, Restricted Stock, or Restricted Stock Units granted under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Award Agreement</w:t>
      </w:r>
      <w:r>
        <w:rPr>
          <w:rFonts w:ascii="Times New Roman" w:hAnsi="Times New Roman"/>
          <w:sz w:val="20"/>
        </w:rPr>
        <w:t xml:space="preserve">” means a written or electronic agreement between the Company and a Participant setting forth the terms, conditions and restrictions of the Award granted to the Participant.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Board</w:t>
      </w:r>
      <w:r>
        <w:rPr>
          <w:rFonts w:ascii="Times New Roman" w:hAnsi="Times New Roman"/>
          <w:sz w:val="20"/>
        </w:rPr>
        <w:t xml:space="preserve">” means the Board of Directors of the Company. If one or more Committees have been appointed by the Board to administer the Plan, “Board” also means such Committee(s).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Cause</w:t>
      </w:r>
      <w:r>
        <w:rPr>
          <w:rFonts w:ascii="Times New Roman" w:hAnsi="Times New Roman"/>
          <w:sz w:val="20"/>
        </w:rPr>
        <w:t xml:space="preserve">” means, unless such term or an equivalent term is otherwise defined with respect to an Award by the Participant’s Award Agreement or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A change in the ownership of the Company that occurs on the date that any one person, or more than one person acting as a group (“Person”), acquires ownership of the stock of the Company that, together with the stock held by such Person, constitutes more than fifty percent (50%) of the total voting power of the stock of the Company. For purposes of this subsection (i), the acquisition of additional stock by any one Person, who is considered to own more than fifty percent (50%) of the total voting power of the stock of the Company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 A change in the effective control of the Company that occurs on the date that a majority of members of the Board is replaced during any twelve (12) month period by directors whose appointment or election is not endorsed by a majority of the members of the Board prior to the date of the appointment or election; or for purposes of this subsection (ii), once any Person is considered to be in effective control of the Company, the acquisition of additional control of the Company by the same Person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A change in the ownership of a “substantial portion of the Company’s assets”, as defined herein. For this purpose, a “substantial portion of the Company’s assets” shall mean assets of the Company having a total gross fair market value equal to or more than fifty percent (50%) of the total gross fair market value of all of the assets of the Company immediately prior to such change in ownership. For purposes of this subsection (iii), a change in ownership of a substantial portion of the Company’s assets occurs on the date that any Person acquires (or has acquired during the twelve (12) month period ending on the date of the most recent acquisition by such person or persons) assets from the Company that constitute a “substantial portion of the Company’s assets.”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of Control unless the transaction qualifies as a change of control event within the meaning of Section 409A.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Further and for the avoidance of doubt, a transaction will not constitute a Change of Control if its primary purpose is to: (1) change the state of the Company’s incorporation, or (2)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Committee</w:t>
      </w:r>
      <w:r>
        <w:rPr>
          <w:rFonts w:ascii="Times New Roman" w:hAnsi="Times New Roman"/>
          <w:sz w:val="20"/>
        </w:rPr>
        <w:t xml:space="preserve">” means the committee appointed by the Board (pursuant to Section 3 to administer the Plan.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w:t>
      </w:r>
      <w:r>
        <w:rPr>
          <w:rFonts w:ascii="Times New Roman" w:hAnsi="Times New Roman"/>
          <w:sz w:val="20"/>
        </w:rPr>
        <w:t xml:space="preserve">” means Jaguar Health, Inc., a Delaware corporation, or any successor corporation thereto.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Consultant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“Disability</w:t>
      </w:r>
      <w:r>
        <w:rPr>
          <w:rFonts w:ascii="Times New Roman" w:hAnsi="Times New Roman"/>
          <w:sz w:val="20"/>
        </w:rPr>
        <w:t xml:space="preserve">” means a permanent and total disability within the meaning of Section 22(e)(3) of the Code. In the case of Awards other than Incentive Stock Options, the Committee, in its discretion, may determine that a different definition of Disability shall apply in accordance with standards adopted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Employee</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Exercise Price</w:t>
      </w:r>
      <w:r>
        <w:rPr>
          <w:rFonts w:ascii="Times New Roman" w:hAnsi="Times New Roman"/>
          <w:sz w:val="20"/>
        </w:rPr>
        <w:t xml:space="preserve">” means the price at which a Share may be purchased by a Participant pursuant to the exercise of an Option.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Fair Market Value</w:t>
      </w:r>
      <w:r>
        <w:rPr>
          <w:rFonts w:ascii="Times New Roman" w:hAnsi="Times New Roman"/>
          <w:sz w:val="20"/>
        </w:rPr>
        <w:t xml:space="preserve">” means, as of any date, the value of a share of Stock or other property as determined by the Board, in its discretion, or by the Company, in its discretion, if such determination is expressly allocated to the Company herein, subject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If, on such date, the Stock is listed on a national or regional securities exchange or market system, the Fair Market Value of a share of Stock shall be the closing price of a share of Stock as quoted on the national or regional securities exchange or market system constituting the primary market for the Stock, as reported in The Wall Street Journal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 and in a manner consistent with the requirements of Section 409A of the Code.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Grant Date</w:t>
      </w:r>
      <w:r>
        <w:rPr>
          <w:rFonts w:ascii="Times New Roman" w:hAnsi="Times New Roman"/>
          <w:sz w:val="20"/>
        </w:rPr>
        <w:t xml:space="preserve">” means, with respect to an Award, the date on which the Committee makes the determination granting such Award, or such later date as is determined by the Committee at the time it approves the grant. The Grant Date of an Award shall not be earlier than the date the Award is approved by the Committee.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Incentive Stock Option</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Insider</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Insider Trading Policy</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Nonemployee Director</w:t>
      </w:r>
      <w:r>
        <w:rPr>
          <w:rFonts w:ascii="Times New Roman" w:hAnsi="Times New Roman"/>
          <w:sz w:val="20"/>
        </w:rPr>
        <w:t xml:space="preserve">” means a Director who is not an employee of the Company or any Affiliate.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Nonstatutory Stock Option</w:t>
      </w:r>
      <w:r>
        <w:rPr>
          <w:rFonts w:ascii="Times New Roman" w:hAnsi="Times New Roman"/>
          <w:sz w:val="20"/>
        </w:rPr>
        <w:t xml:space="preserve">” means an Option not intended to be (as set forth in the Award Agreement) or which does not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Officer</w:t>
      </w:r>
      <w:r>
        <w:rPr>
          <w:rFonts w:ascii="Times New Roman" w:hAnsi="Times New Roman"/>
          <w:sz w:val="20"/>
        </w:rPr>
        <w:t xml:space="preserve">” means any person designated by the Board as an officer of the Company.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Option</w:t>
      </w:r>
      <w:r>
        <w:rPr>
          <w:rFonts w:ascii="Times New Roman" w:hAnsi="Times New Roman"/>
          <w:sz w:val="20"/>
        </w:rPr>
        <w:t xml:space="preserve">” means an Incentive Stock Option or a Nonstatutory Stock Option granted pursuant to the Plan.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Parent Corporation</w:t>
      </w:r>
      <w:r>
        <w:rPr>
          <w:rFonts w:ascii="Times New Roman" w:hAnsi="Times New Roman"/>
          <w:sz w:val="20"/>
        </w:rPr>
        <w:t xml:space="preserve">” means any present or future “parent corporation” of the Company,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Participant</w:t>
      </w:r>
      <w:r>
        <w:rPr>
          <w:rFonts w:ascii="Times New Roman" w:hAnsi="Times New Roman"/>
          <w:sz w:val="20"/>
        </w:rPr>
        <w:t xml:space="preserve">” means any eligible person who has been granted one or more Awards.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Participating Company</w:t>
      </w:r>
      <w:r>
        <w:rPr>
          <w:rFonts w:ascii="Times New Roman" w:hAnsi="Times New Roman"/>
          <w:sz w:val="20"/>
        </w:rPr>
        <w:t xml:space="preserve">” means the Company or any Parent Corporation or Subsidiary Corporation.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Participating Company Group</w:t>
      </w:r>
      <w:r>
        <w:rPr>
          <w:rFonts w:ascii="Times New Roman" w:hAnsi="Times New Roman"/>
          <w:sz w:val="20"/>
        </w:rPr>
        <w:t xml:space="preserve">” means, at any point in time, all entities collectively which are then Participating Companies,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Performance Goals</w:t>
      </w:r>
      <w:r>
        <w:rPr>
          <w:rFonts w:ascii="Times New Roman" w:hAnsi="Times New Roman"/>
          <w:sz w:val="20"/>
        </w:rPr>
        <w:t xml:space="preserve">” means the goal(s) (or combined goal(s)) determined by the Committee in its discretion to be applicable to a Participant with respect to an Award. As determined by the Committee, the Performance Goals applicable to an Award shall provide for a targeted level or levels of achievement using one or more of the following measures: (a) cash flow, (b) earnings per share, (c) gross revenue, (d) market share, (e) return on capital, (f) total shareholder return, or (g) operating profits.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Performance Period”</w:t>
      </w:r>
      <w:r>
        <w:rPr>
          <w:rFonts w:ascii="Times New Roman" w:hAnsi="Times New Roman"/>
          <w:sz w:val="20"/>
        </w:rPr>
        <w:t xml:space="preserve"> means the time period during which the Performance Goals or continued status as an Employee, Director, or Consultant must be met as determined by the Committee at is sole discretion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Plan</w:t>
      </w:r>
      <w:r>
        <w:rPr>
          <w:rFonts w:ascii="Times New Roman" w:hAnsi="Times New Roman"/>
          <w:sz w:val="20"/>
        </w:rPr>
        <w:t xml:space="preserve">” means the Jaguar Animal Health, Inc. 2014 Stock Incentive Plan, as amended.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Restricted Stock Award</w:t>
      </w:r>
      <w:r>
        <w:rPr>
          <w:rFonts w:ascii="Times New Roman" w:hAnsi="Times New Roman"/>
          <w:sz w:val="20"/>
        </w:rPr>
        <w:t xml:space="preserve">” means an Award of a Restricted Stock granted pursuant to Section 7.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Stock Unit Award</w:t>
      </w:r>
      <w:r>
        <w:rPr>
          <w:rFonts w:ascii="Times New Roman" w:hAnsi="Times New Roman"/>
          <w:sz w:val="20"/>
        </w:rPr>
        <w:t xml:space="preserve">” means an Award of a right to receive Stock on a future date granted pursuant to Section 8.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Rule 16b-3</w:t>
      </w:r>
      <w:r>
        <w:rPr>
          <w:rFonts w:ascii="Times New Roman" w:hAnsi="Times New Roman"/>
          <w:sz w:val="20"/>
        </w:rPr>
        <w:t xml:space="preserve">” means Rule 16b-3 promulgated under the 1934 Act, and any future regulation amending, supplementing or superseding such regulation.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Section 16 Person</w:t>
      </w:r>
      <w:r>
        <w:rPr>
          <w:rFonts w:ascii="Times New Roman" w:hAnsi="Times New Roman"/>
          <w:sz w:val="20"/>
        </w:rPr>
        <w:t xml:space="preserve">” means an individual, who, with respect to the shares of Stock, is subject to Section 16 of the 1934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Service</w:t>
      </w:r>
      <w:r>
        <w:rPr>
          <w:rFonts w:ascii="Times New Roman" w:hAnsi="Times New Roman"/>
          <w:sz w:val="20"/>
        </w:rPr>
        <w:t xml:space="preserve">” means a Participant’s employment or service with the Participating Company Group, whether in the capacity of an Employee, a Director or a Consultant. Unless otherwise provided by the Board,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Except as otherwise provided by the Board, in its discretion, the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Stock</w:t>
      </w:r>
      <w:r>
        <w:rPr>
          <w:rFonts w:ascii="Times New Roman" w:hAnsi="Times New Roman"/>
          <w:sz w:val="20"/>
        </w:rPr>
        <w:t xml:space="preserve">” means a share of common stock of the Company, as adjusted from time to time in accordance with Section 4.3.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Subsidiary Corporation</w:t>
      </w:r>
      <w:r>
        <w:rPr>
          <w:rFonts w:ascii="Times New Roman" w:hAnsi="Times New Roman"/>
          <w:sz w:val="20"/>
        </w:rPr>
        <w:t xml:space="preserve">” means any present or future “subsidiary corporation” of the Company,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Ten Percent Stockholder</w:t>
      </w:r>
      <w:r>
        <w:rPr>
          <w:rFonts w:ascii="Times New Roman" w:hAnsi="Times New Roman"/>
          <w:sz w:val="20"/>
        </w:rPr>
        <w:t xml:space="preserve">” means a person who, at the time an Award is granted to such person, owns stock possessing more than ten percent (10%) of the total combined voting power of all classes of stock of a Participating Company within the meaning of Section 422(b)(6) of the Code.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Vesting Conditions</w:t>
      </w:r>
      <w:r>
        <w:rPr>
          <w:rFonts w:ascii="Times New Roman" w:hAnsi="Times New Roman"/>
          <w:sz w:val="20"/>
        </w:rPr>
        <w:t xml:space="preserve">” mean those conditions established in accordance with the Plan prior to the satisfaction of which shares subject to an Award remain subject to forfeiture or a repurchase option in favor of the Company exercisable for the Participant’s monetary purchase price, if any, for such shares upon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3.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The Committee</w:t>
      </w:r>
      <w:r>
        <w:rPr>
          <w:rFonts w:ascii="Times New Roman" w:hAnsi="Times New Roman"/>
          <w:sz w:val="20"/>
        </w:rPr>
        <w:t xml:space="preserve">. The Plan shall be administered by the Committee. The Committee shall consist of not less than two (2) Directors who shall be appointed from time to time by, and shall serve at the pleasure of, the Board of Directors. The Committee shall be comprised solely of Directors are “non-employee directors” under Rule 16b-3 and “independent directors” under the rules of any securities exchange or automated quotation system on which the Stock is listed, quoted, or traded.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of the Committee</w:t>
      </w:r>
      <w:r>
        <w:rPr>
          <w:rFonts w:ascii="Times New Roman" w:hAnsi="Times New Roman"/>
          <w:sz w:val="20"/>
        </w:rPr>
        <w:t xml:space="preserve">. It shall be the duty of the Committee to administer the Plan in accordance with the Plan’s provisions. The Committee shall have all powers and discretion necessary or appropriate to administer the Plan and to control its operation, including, but not limited to, the power to (a) determine which Employees, Consultants, and Directors shall be granted Awards, (b) prescribe the terms and conditions of the Awards, (c) interpret the Plan and the Awards, (d) adopt such procedures and subplans as are necessary or for the purpose of satisfying Applicable Laws, (e) adopt rules for the administration, interpretation and application of the Plan as are consistent therewith, and (f) interpret, amend or revoke any such rules. Notwithstanding the preceding, the Committee shall not implement an Exchange Program without the approval of the holders of a majority of the shares that are present in person or by proxy and entitled to vote at any Annual or Special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Delegation by the Committee</w:t>
      </w:r>
      <w:r>
        <w:rPr>
          <w:rFonts w:ascii="Times New Roman" w:hAnsi="Times New Roman"/>
          <w:sz w:val="20"/>
        </w:rPr>
        <w:t xml:space="preserve">. The Committee, in its sole discretion and on such terms and conditions as it may provide, may delegate all or any part of its authority and powers under the Plan to one or more Directors or officers of the Company, except that the Committee may not delegate all or any part of its authority under the Plan with respect to Awards granted to any individual who is a Section 16 Person. To the extent of any delegation by the Committee, references to the Committee in this Plan and any Award Agreement shall be deemed also to include reference to the applicable delegate(s).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Decisions Binding</w:t>
      </w:r>
      <w:r>
        <w:rPr>
          <w:rFonts w:ascii="Times New Roman" w:hAnsi="Times New Roman"/>
          <w:sz w:val="20"/>
        </w:rPr>
        <w:t xml:space="preserve">. All interpretations, determinations and decisions made by the Committee, the Board, and any delegate of the Committee pursuant to the provisions of the Plan shall be final, conclusive, and binding on all persons, and shall be given the maximum deference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4. SHARES SUBJECT TO PLAN.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Number of Shares</w:t>
      </w:r>
      <w:r>
        <w:rPr>
          <w:rFonts w:ascii="Times New Roman" w:hAnsi="Times New Roman"/>
          <w:sz w:val="20"/>
        </w:rPr>
        <w:t xml:space="preserve">. Subject to adjustment as provided in Section 4.3, and the provisions in this Section 4.1 regarding the annual increase, the aggregate number of shares of Stock that may be issued pursuant to Awards shall not exceed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(the “Share Reserve”). In addition, the Share Reserve will automatically increase on January 1st of each year, for a period up to and including January 1, 2036, beginning on January 1st of the year following the year in which the Plan became effective in an amount equal to 5% of the total number of shares of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Stock than would otherwise occur pursuant to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Lapsed Awards</w:t>
      </w:r>
      <w:r>
        <w:rPr>
          <w:rFonts w:ascii="Times New Roman" w:hAnsi="Times New Roman"/>
          <w:sz w:val="20"/>
        </w:rPr>
        <w:t xml:space="preserve">. If an Award expires without having been exercised in full, or, with respect to Restricted Stock and Restricted Stock Units is forfeited to the Company, the shares which were subject thereto will become available for future grant or sale under the Plan (unless the Plan has terminated). Shares that have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in Awards and Authorized Shares</w:t>
      </w:r>
      <w:r>
        <w:rPr>
          <w:rFonts w:ascii="Times New Roman" w:hAnsi="Times New Roman"/>
          <w:sz w:val="20"/>
        </w:rPr>
        <w:t xml:space="preserve">. In the event that any dividend (other than regular, ongoing dividends) or other distribution (whether in the form of cash, shares, other securities, or other property),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recapitalization, stock split, reverse stock split, reorganization, merger, consolidation, split-up, spin-off, combination, repurchase, or exchange of shares or other securities of the Company, or other change in the corporate structure of the Company affecting the shares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the number and class of stock. Notwithstanding the preceding, the number of shares subject to any Award always shall be a whole number. </w:t>
      </w:r>
    </w:p>
    <w:p>
      <w:pPr>
        <w:pStyle w:val="TextBody"/>
        <w:bidi w:val="0"/>
        <w:spacing w:before="240" w:after="0"/>
        <w:jc w:val="left"/>
        <w:rPr>
          <w:rFonts w:ascii="Times New Roman" w:hAnsi="Times New Roman"/>
          <w:sz w:val="20"/>
        </w:rPr>
      </w:pPr>
      <w:r>
        <w:rPr>
          <w:rFonts w:ascii="Times New Roman" w:hAnsi="Times New Roman"/>
          <w:sz w:val="20"/>
        </w:rPr>
        <w:t xml:space="preserve">5. ELIGIBILITY.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Persons Eligible for Awards</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Participation in the Plan</w:t>
      </w:r>
      <w:r>
        <w:rPr>
          <w:rFonts w:ascii="Times New Roman" w:hAnsi="Times New Roman"/>
          <w:sz w:val="20"/>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240" w:after="0"/>
        <w:jc w:val="left"/>
        <w:rPr>
          <w:rFonts w:ascii="Times New Roman" w:hAnsi="Times New Roman"/>
          <w:sz w:val="20"/>
        </w:rPr>
      </w:pPr>
      <w:r>
        <w:rPr>
          <w:rFonts w:ascii="Times New Roman" w:hAnsi="Times New Roman"/>
          <w:sz w:val="20"/>
        </w:rPr>
        <w:t xml:space="preserve">6. STOCK OPTIONS. </w:t>
      </w:r>
    </w:p>
    <w:p>
      <w:pPr>
        <w:pStyle w:val="TextBody"/>
        <w:bidi w:val="0"/>
        <w:spacing w:before="24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Board shall from time to time establish.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6.1 [Reserved]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Price</w:t>
      </w:r>
      <w:r>
        <w:rPr>
          <w:rFonts w:ascii="Times New Roman" w:hAnsi="Times New Roman"/>
          <w:sz w:val="20"/>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 (b) 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Exercisability and Term of Options</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and (b) no Incentive Stock Option granted to a Ten Percent Stockholder shall be exercisable after the expiration of five (5) years after the effective date of grant of such Option. Subject to the foregoing, unless otherwise specified by the Board in the grant of an Option, any Option granted hereunder shall terminate ten (10) years after the effective date of grant of the Option,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Payment of 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“Cashless Exercise”), (iv) by delivery of a properly executed notice electing a Net-Exercise, (v) by such other consideration as may be approved by the Board from time to time to the extent permitted by applicable law, or (vi) by any combination thereof. The Board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Limitations on Forms of Consideration - Tender of Stock</w:t>
      </w:r>
      <w:r>
        <w:rPr>
          <w:rFonts w:ascii="Times New Roman" w:hAnsi="Times New Roman"/>
          <w:sz w:val="20"/>
        </w:rPr>
        <w:t xml:space="preserve">. Notwithstanding the foregoing, an Option may not be exercised by tender to the Company, or attestation to the ownership, of 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or such other period, if any, required by the Company (and were not used for another Option exercise by attestation during such period) or were not acquired, directly or indirectly,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Certain Additional Provisions for Incentive 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Number of Shares Issuable Pursuant to Incentive Stock Options</w:t>
      </w:r>
      <w:r>
        <w:rPr>
          <w:rFonts w:ascii="Times New Roman" w:hAnsi="Times New Roman"/>
          <w:sz w:val="20"/>
        </w:rPr>
        <w:t xml:space="preserve">. Subject to Section 4 and adjustment as provided in Subsection 4.3, the maximum aggregate number of shares of Stock that may be issued under the Plan pursuant to the exercise of Incentive Stock Options shall not exceed 410,000 shares (the “ISO Share Limit”). The maximum aggregate number of shares of Stock that may be issued under the Plan pursuant to all Awards other than Incentive Stock Options shall be the number of shares determined in accordance with Section 4, subject to adjustment as provided in Subsection 4.3.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Exercisability</w:t>
      </w:r>
      <w:r>
        <w:rPr>
          <w:rFonts w:ascii="Times New Roman" w:hAnsi="Times New Roman"/>
          <w:sz w:val="20"/>
        </w:rPr>
        <w:t xml:space="preserve">. The aggregate Fair Market Value (determined on the Grant Date(s)) of the shares with respect to which Incentive Stock Options are exercisable for the first time by any Employee during any calendar year (under all plans of the Company and its Subsidiaries)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Service</w:t>
      </w:r>
      <w:r>
        <w:rPr>
          <w:rFonts w:ascii="Times New Roman" w:hAnsi="Times New Roman"/>
          <w:sz w:val="20"/>
        </w:rPr>
        <w:t xml:space="preserve">. No Incentive Stock Option may be exercised more than three (3) months after the Participant’s Termination of Service for any reason other than Disability or death, unless (a) the Participant dies during such three-month period, and/or (b) the Award Agreement or the Committee permits later exercise (in which case the Option instead may be deemed to be a Nonqualified Stock Option). No Incentive Stock Option may be exercised more than one (1) year after the Participant’s Termination of Service on account of Disability, unless (a) the Participant dies during such one-year period, and/or (b) the Award Agreement or the Committee permit later exercise (in which case the option instead may be deemed to be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w:t>
      </w:r>
      <w:r>
        <w:rPr>
          <w:rFonts w:ascii="Times New Roman" w:hAnsi="Times New Roman"/>
          <w:sz w:val="20"/>
        </w:rPr>
        <w:t xml:space="preserve">. No Incentive Stock Option may be exercised after the expiration of ten (10) years from the Grant Date; provided, however, that if the Option is granted to an Employee who, together with persons whose stock ownership is attributed to the Employee pursuant to Section 424(d) of the Code, owns stock possessing more than 10% of the total combined voting power of all classes of the stock of the Company or any of its Subsidiaries, the Option may not be exercised after the expiration of five (5)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Effect of Termination of Service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 Exercisability</w:t>
      </w:r>
      <w:r>
        <w:rPr>
          <w:rFonts w:ascii="Times New Roman" w:hAnsi="Times New Roman"/>
          <w:sz w:val="20"/>
        </w:rPr>
        <w:t xml:space="preserve">. Subject to earlier termination of the Option as otherwise provided by this Plan and unless a longer exercise period is provided by the Board, an Option shall terminate immediately upon the Participant’s termination of Service to the extent that it is then unvested and shall be exercisable after the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termination of Service to the extent it is then vested only during the applicable time period determined in accordance with this Section and thereafter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“Subsection”).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for Cause</w:t>
      </w:r>
      <w:r>
        <w:rPr>
          <w:rFonts w:ascii="Times New Roman" w:hAnsi="Times New Roman"/>
          <w:sz w:val="20"/>
        </w:rPr>
        <w:t xml:space="preserve">. Notwithstanding any other provision of the Plan to the contrary, if the Participant’s Service is terminated for Cause, the Option shall terminate in its entirety and cease to be exercisable immediately upon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Extension if Exercise Prevented by Law</w:t>
      </w:r>
      <w:r>
        <w:rPr>
          <w:rFonts w:ascii="Times New Roman" w:hAnsi="Times New Roman"/>
          <w:sz w:val="20"/>
        </w:rPr>
        <w:t xml:space="preserve">. Notwithstanding the foregoing other than termination of Service for Cause, if the exercise of an Option within the applicable time periods set forth in Subsection 6.6(a) is prevented by the provisions of Section 12 below, the Option shall remain exercisable until the later of (i) thirty (30) days after the date such exercise first would no longer be prevented by such provisions or (ii) the end of the applicable time period under Subsection 6.6(a),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7. RESTRICTED STOCK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Awards shall be evidenced by Award Agreements in such form as the Board shall from time to time establish. Award Agreements evidencing Restricted Stock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7.1 [Reserved]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Types of Restricted Stock Awards Authorized</w:t>
      </w:r>
      <w:r>
        <w:rPr>
          <w:rFonts w:ascii="Times New Roman" w:hAnsi="Times New Roman"/>
          <w:sz w:val="20"/>
        </w:rPr>
        <w:t xml:space="preserve">. Restricted Stock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Award shall be established by the Board in its discretion. Except as may be required by applicable law or established by the Board, no monetary payment (other than applicable tax withholding) shall be required as a condition of receiving shares of Stock pursuant to a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Change of Control or as provided in Subsection 7.7.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Voting Rights; Dividends and Distributions</w:t>
      </w:r>
      <w:r>
        <w:rPr>
          <w:rFonts w:ascii="Times New Roman" w:hAnsi="Times New Roman"/>
          <w:sz w:val="20"/>
        </w:rPr>
        <w:t xml:space="preserve">. Except as provided in this Section 7.6, Subsection 7.5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Subsection 4.3,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Effect of Termination of Service</w:t>
      </w:r>
      <w:r>
        <w:rPr>
          <w:rFonts w:ascii="Times New Roman" w:hAnsi="Times New Roman"/>
          <w:sz w:val="20"/>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Award which remain subject to Vesting Conditions as of the date of the Participant’s termination of Service and (b) if the Participant did not pay any consideration for any shares acquired by the Participant pursuant to a Restricted Stock Award which remain subject to Vesting Conditions as of the date of the Participant’s termination of Service, such shares shall be forfeited. The Company shall have the right to assign at any time any repurchase right it may have, whether or not such right is then exercisable, to one or more persons as may be selected by the Company.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Nontransferability of Restricted Stock 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 RESTRICTED STOCK UNIT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Unit Awards shall be evidenced by Award Agreements in such form as the Board shall from time to time establish. Award Agreements evidencing Restricted Stock Unit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8.1 [Reserved]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Types of Restricted Stock Unit Awards Authorized</w:t>
      </w:r>
      <w:r>
        <w:rPr>
          <w:rFonts w:ascii="Times New Roman" w:hAnsi="Times New Roman"/>
          <w:sz w:val="20"/>
        </w:rPr>
        <w:t xml:space="preserve">. Restricted Stock Unit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Number of Securities</w:t>
      </w:r>
      <w:r>
        <w:rPr>
          <w:rFonts w:ascii="Times New Roman" w:hAnsi="Times New Roman"/>
          <w:sz w:val="20"/>
        </w:rPr>
        <w:t xml:space="preserve">. Each Award Agreement will specify the number of Awarded Securities and will provide for the adjustment of such number in accordance with Subsection 4.3 of the Plan.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Unit Award shall be established by the Board in its discretion. Except as may be required by applicable law or established by the Board, no monetary payment (other than applicable tax withholding) shall be required as a condition of receiving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Unit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Unit Award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such Restricted Stock Unit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Settlement of Restricted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 Rights as a Shareholder</w:t>
      </w:r>
      <w:r>
        <w:rPr>
          <w:rFonts w:ascii="Times New Roman" w:hAnsi="Times New Roman"/>
          <w:sz w:val="20"/>
        </w:rPr>
        <w:t xml:space="preserve">. Any Restricted Stock Unit Award granted hereunder will be settled according to the terms of the Plan and at such times and under such conditions as determined by the Board and set forth in the Award Agreement. Until the Restricted Stock Unit Awards are settled and the shares of Stock are delivered (as evidenced by the appropriate entry on the books of the Company or of a duly authorized transfer agent of the Company), no right to vote, if applicable, or receive dividends or any other rights as a shareholder will exist with respect to the Award. No adjustment will be made for a dividend or other right for which the record date is prior to the date the Securities are delivered, except as provided in Subsection 4.3 of the Plan or the applicable Award Agreement.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Nontransferability of Restricted Stock Unit Award Rights</w:t>
      </w:r>
      <w:r>
        <w:rPr>
          <w:rFonts w:ascii="Times New Roman" w:hAnsi="Times New Roman"/>
          <w:sz w:val="20"/>
        </w:rPr>
        <w:t xml:space="preserve">. Rights to acquire shares of Stock pursuant to a Restricted Stock Unit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Cessation of Services</w:t>
      </w:r>
      <w:r>
        <w:rPr>
          <w:rFonts w:ascii="Times New Roman" w:hAnsi="Times New Roman"/>
          <w:sz w:val="20"/>
        </w:rPr>
        <w:t xml:space="preserve">. Each Award Agreement will specify the consequences of a Participant’s ceasing to be a Service Provider prior to the settlement of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9. PERFORMANCE-BASED AWARDS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General</w:t>
      </w:r>
      <w:r>
        <w:rPr>
          <w:rFonts w:ascii="Times New Roman" w:hAnsi="Times New Roman"/>
          <w:sz w:val="20"/>
        </w:rPr>
        <w:t xml:space="preserve">. If the Committee, in its discretion, decides to grant an Award intended to qualify as “performance-based compensation”, the provisions of this Section 9 will control over any contrary provision in the Plan.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Performance Goals</w:t>
      </w:r>
      <w:r>
        <w:rPr>
          <w:rFonts w:ascii="Times New Roman" w:hAnsi="Times New Roman"/>
          <w:sz w:val="20"/>
        </w:rPr>
        <w:t xml:space="preserve">. The granting and/or vesting of Awards and other incentives under the Plan may, in the discretion of the Committee, be made subject to the achievement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Procedures</w:t>
      </w:r>
      <w:r>
        <w:rPr>
          <w:rFonts w:ascii="Times New Roman" w:hAnsi="Times New Roman"/>
          <w:sz w:val="20"/>
        </w:rPr>
        <w:t xml:space="preserve">. The Committee will, in writing, (i) designate one or more Participants to whom an Award will be made, (ii) determine the Performance Period, (iii) establish the Performance Goals and amounts that may be earned for the Performance Period, and (iv) determine any other terms and conditions applicable to the Award(s). </w:t>
      </w:r>
    </w:p>
    <w:p>
      <w:pPr>
        <w:pStyle w:val="TextBody"/>
        <w:bidi w:val="0"/>
        <w:spacing w:before="240" w:after="0"/>
        <w:jc w:val="left"/>
        <w:rPr>
          <w:rFonts w:ascii="Times New Roman" w:hAnsi="Times New Roman"/>
          <w:sz w:val="20"/>
        </w:rPr>
      </w:pPr>
      <w:r>
        <w:rPr>
          <w:rFonts w:ascii="Times New Roman" w:hAnsi="Times New Roman"/>
          <w:sz w:val="20"/>
        </w:rPr>
        <w:t xml:space="preserve">9.4 [Reserved]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Determination of Amounts Earned</w:t>
      </w:r>
      <w:r>
        <w:rPr>
          <w:rFonts w:ascii="Times New Roman" w:hAnsi="Times New Roman"/>
          <w:sz w:val="20"/>
        </w:rPr>
        <w:t xml:space="preserve">. Following the completion of each Performance Period, the Committee will certify whether the applicable Performance Goals have been achieved for such Performance Period. A Participant will be eligible to receive payment pursuant to an Award intended to qualify as “performance-based compensation” for a Performance Period only if the Performance Goals for such period are achieved. The Committee will have the right to (a) reduce or eliminate (but not to increase) the amount payable at a given level of performance to take into account additional factors that the Committee may deem relevant to the assessment of individual or corporate performance for the Performance Period, (b) determine what actual Award, if any, will be paid in the event of a termination of employment as the result of a Participant’s death or disability or upon a Change of Control or in the event of a termination of employment following a Change of Control prior to the end of the Performance Period, and (c) determine what actual Award, if any, will be paid in the event of a termination of employment other than as the result of a Participant’s death or Disability prior to a Change of Control and prior to the end of the Performance Period to the extent an actual Award would have otherwise been achieved had the Participant remained employed through the end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10.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Effect of Change in Control on Awards</w:t>
      </w:r>
      <w:r>
        <w:rPr>
          <w:rFonts w:ascii="Times New Roman" w:hAnsi="Times New Roman"/>
          <w:sz w:val="20"/>
        </w:rPr>
        <w:t xml:space="preserve">. Subject to the requirements and limitations of Section 409A of the Code, if applicable, the Board may provide for any one or more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Accelerated Vesting</w:t>
      </w:r>
      <w:r>
        <w:rPr>
          <w:rFonts w:ascii="Times New Roman" w:hAnsi="Times New Roman"/>
          <w:sz w:val="20"/>
        </w:rPr>
        <w:t xml:space="preserve">. The Board may, in its discretion, provide in any Award Agreement or, in the event of a Change in Control, may take such actions as it deems appropriate to provide for the acceleration of the exercisability and/or vesting in connection with such Change in Control of each or any outstanding Award or portion thereof and shares acquired pursuant thereto upon such conditions, including termination of the Participant’s Service prior to, upon, or following such Change in Control, to such extent as the Board shall determine.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Assumption, Continuation or Substitution of Awards</w:t>
      </w:r>
      <w:r>
        <w:rPr>
          <w:rFonts w:ascii="Times New Roman" w:hAnsi="Times New Roman"/>
          <w:sz w:val="20"/>
        </w:rPr>
        <w:t xml:space="preserve">. In the event of a Change in Control, 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Board may, with the consent of the Acquiror, provide for the consideration to be received upon the exercise of the Award for each share of Stock to consist solely of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 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Cash-Out of Outstanding Awards</w:t>
      </w:r>
      <w:r>
        <w:rPr>
          <w:rFonts w:ascii="Times New Roman" w:hAnsi="Times New Roman"/>
          <w:sz w:val="20"/>
        </w:rPr>
        <w:t xml:space="preserve">. The Board may, in its discretion and without the consent of any Participant, determine that, upon the occurrence of a Change in Control, each or any Award or portion thereof outstanding immediately prior to the Change in Control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future payment of such consideration. In the event such determination is made by the Board, the amount of such payment (reduced by applicable withholding taxes, if any) shall be paid to Participants in respect of the vested portions of their canceled Awards as soon as practicable following the date of the Change in Control and in respect of the unvested portions of their canceled Awards in accordance with the vesting schedules applicable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11.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Withholding Requirements</w:t>
      </w:r>
      <w:r>
        <w:rPr>
          <w:rFonts w:ascii="Times New Roman" w:hAnsi="Times New Roman"/>
          <w:sz w:val="20"/>
        </w:rPr>
        <w:t xml:space="preserve">. Prior to the delivery of any shares or cash pursuant to an Award (or exercise thereof), or at such earlier time as the Tax Obligations are due, the Company shall have the power and the right to deduct or withhold, or require a Participant to remit to the Company, an amount sufficient to satisfy all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Withholding Arrangements</w:t>
      </w:r>
      <w:r>
        <w:rPr>
          <w:rFonts w:ascii="Times New Roman" w:hAnsi="Times New Roman"/>
          <w:sz w:val="20"/>
        </w:rPr>
        <w:t xml:space="preserve">. The Committee, in its sole discretion and pursuant to such procedures as it may specify from time to time, may designate the method or methods by which a Participant may satisfy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such Tax Obligations. As determined by the Committee in its discretion from time to time, these methods may include one or more of the following: (a) paying cash, (b) electing to have the Company withhold otherwise cash or shares having a Fair Market Value equal to the amount required to be withheld, (c) delivering to the Company already-owned shares having a Fair Market Value equal to the minimum amount required to be withheld or remitted, provided the delivery of such shares will not result in any adverse accounting consequences as the Committee determines in its sole discretion, (d) selling a sufficient number of shares otherwise deliverable to the Participant through such means as the Committee may determine in its sole discretion (whether through a broker or otherwise) equal to the Tax Obligations required to be withheld, (e) retaining from salary or other amounts payable to the Participant cash having a sufficient value to satisfy the Tax Obligations, or (f) any other means which the Committee, in its sole discretion, determines to both comply with Applicable Laws, and to be consistent with the purposes of the Plan. The amount of Tax Obligations will be deemed to include any amount that the Committee agrees may be withheld at the time the election is made, not to exceed the amount determined by using the maximum federal, state or local marginal income tax rates applicable to the Participant or the Company, as applicable, with respect to the Award on the date that the amount of tax or social insurance liability to be withheld or remitted is to be determined. The Fair Market Value of the shares to be withheld or delivered shall be determined as of the date that the Tax Obligations are required to be withheld. </w:t>
      </w:r>
    </w:p>
    <w:p>
      <w:pPr>
        <w:pStyle w:val="TextBody"/>
        <w:bidi w:val="0"/>
        <w:spacing w:before="240" w:after="0"/>
        <w:jc w:val="left"/>
        <w:rPr>
          <w:rFonts w:ascii="Times New Roman" w:hAnsi="Times New Roman"/>
          <w:sz w:val="20"/>
        </w:rPr>
      </w:pPr>
      <w:r>
        <w:rPr>
          <w:rFonts w:ascii="Times New Roman" w:hAnsi="Times New Roman"/>
          <w:sz w:val="20"/>
        </w:rPr>
        <w:t xml:space="preserve">12. COMPLIANCE WITH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Section 16 Persons</w:t>
      </w:r>
      <w:r>
        <w:rPr>
          <w:rFonts w:ascii="Times New Roman" w:hAnsi="Times New Roman"/>
          <w:sz w:val="20"/>
        </w:rPr>
        <w:t xml:space="preserve">. With respect to Section 16 Persons, transactions under this Plan are intended to qualify for the exemption provided by Rule 16b-3. To the extent any provision of the Plan, Award Agreement or action by the Committee fails to so comply, it shall be deemed null and void, to the extent permitted by law and deemed advisable or appropriate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 Representations</w:t>
      </w:r>
      <w:r>
        <w:rPr>
          <w:rFonts w:ascii="Times New Roman" w:hAnsi="Times New Roman"/>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Inability to Obtain Authority</w:t>
      </w:r>
      <w:r>
        <w:rPr>
          <w:rFonts w:ascii="Times New Roman" w:hAnsi="Times New Roman"/>
          <w:sz w:val="20"/>
        </w:rPr>
        <w:t xml:space="preserve">. The Company will not be required to issue any Shares, cash or other property under the Plan unless all the following conditions are satisfied: (a) the admission of the shares or other property to listing on all stock exchanges on which such class of stock or property then is listed; (b) the completion of any registration or other qualification or rule compliance of the shares under any U.S. state or federal law or under the rulings or regulations of the Securities and Exchange Commission, the stock exchange on which shares of the same class are then listed, or any other governmental regulatory body, as counsel to the Company, in its absolute discretion, deems necessary or advisable; (c) the obtaining of any approval or other clearance from any U.S. federal, state or other governmental agency, which counsel to the Company, in its absolute discretion, determines to be necessary or advisable; and (d) the lapse of such reasonable period of time following the Grant Date, vesting and/or exercise as the Company may establish from time to time for reasons of administrative convenience. If the Committee determines, in its absolute discretion, that one or more of the preceding conditions will not be satisfied, the Company automatically will be relieved of any liability with respect to the failure to issue the shares, cash or other property as to which such requisite authority will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13. AMENDMENT OR TERMINATION OF PLAN.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amend, suspend or terminate the Plan at any time. However, without the approval of the Company’s shareholders, there shall be (a) no increase in the maximum aggregate number of shares of Stock that may be issued under the Plan (except by operation of the provisions of Subsection 4.3), (b) no change in the class of persons eligible to receive Incentive Stock Options, and (c) no other amendment of the Plan that would require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approval of the Company’s shareholders under any applicable law, regulation or rule, including the rules of any stock exchange or market system upon which the Stock may then be listed. No amendment, suspension or termination of the Plan shall affect any then outstanding Award unless expressly provided by the Board. Except as provided by the next sentence, no amendment, suspension or termination of the Plan may adversely affect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14.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Indemnification</w:t>
      </w:r>
      <w:r>
        <w:rPr>
          <w:rFonts w:ascii="Times New Roman" w:hAnsi="Times New Roman"/>
          <w:sz w:val="20"/>
        </w:rPr>
        <w:t xml:space="preserve">.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Successors.</w:t>
      </w:r>
      <w:r>
        <w:rPr>
          <w:rFonts w:ascii="Times New Roman" w:hAnsi="Times New Roman"/>
          <w:sz w:val="20"/>
        </w:rPr>
        <w:t xml:space="preserve">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Rights as Employee, Consultant or Director</w:t>
      </w:r>
      <w:r>
        <w:rPr>
          <w:rFonts w:ascii="Times New Roman" w:hAnsi="Times New Roman"/>
          <w:sz w:val="20"/>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Retirement and Welfare Plans</w:t>
      </w:r>
      <w:r>
        <w:rPr>
          <w:rFonts w:ascii="Times New Roman" w:hAnsi="Times New Roman"/>
          <w:sz w:val="20"/>
        </w:rPr>
        <w:t xml:space="preserve">. Neither Awards made under this Plan nor shares of Stock or cash paid pursuant to such Awards shall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such benefits.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Section 409A of the Code</w:t>
      </w:r>
      <w:r>
        <w:rPr>
          <w:rFonts w:ascii="Times New Roman" w:hAnsi="Times New Roman"/>
          <w:sz w:val="20"/>
        </w:rPr>
        <w:t xml:space="preserve">. Notwithstanding other provisions of the Plan or any Award Agreements hereunder, no Award shall be granted, deferred, accelerated, extended, paid out or modified under this Plan in a manner that would result in the imposition of an additional tax under Section 409A of the Code upon a Participant. In the event that it is reasonably determined by the Board or, if delegated by the Board to the Committee,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shall use commercially reasonable efforts to implement the provisions of this Subsection 14.8 in good faith; provided that neither the Company, the Board nor any of the Company’s employees, directors or representatives shall have any liability to Participants with respect to this Subsection 14.8. </w:t>
      </w:r>
    </w:p>
    <w:p>
      <w:pPr>
        <w:pStyle w:val="TextBody"/>
        <w:bidi w:val="0"/>
        <w:spacing w:before="24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California, without regard to its conflict of law rules.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Stockholder Approval</w:t>
      </w:r>
      <w:r>
        <w:rPr>
          <w:rFonts w:ascii="Times New Roman" w:hAnsi="Times New Roman"/>
          <w:sz w:val="20"/>
        </w:rPr>
        <w:t xml:space="preserve">. The Plan or any increase in the maximum aggregate number of shares of Stock issuable thereunder as provided in Subsection 4 (the “Authorized Shares”) shall be approved by a majority of the outstanding securities of the Company entitled to vote by the later of (a) a period beginning twelve (12) months before and ending twelve (12) months after the date of adoption thereof by the Board.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7172960" cy="9309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 Proxy Tabulator  PO Box 43131 Providence, RI 02940-3131    Please detach at perforation before mailing. JAGUAR HEALTH, INC.PROXY CARD PROXY FOR THE SPECIAL MEETING OF STOCKHOLDERS TO BE HELD ON SEPTEMBER 4, 2026 THIS PROXY IS SOLICITED ON BEHALF OF THE BOARD OF DIRECTORS OF JAGUAR HEALTH, INC. Lisa Conte and Carol Lizak, or any of them, each with full power of substitution, are hereby authorized to represent and vote the shares of the undersigned, with all the powers which the undersigned would possess if personally present, at the Special Meeting of Stockholders of JAGUAR HEALTH, INC. to be held at 200 Pine Street, Suite 400, San Francisco, CA 94104, on Friday, September 4, 2026, at 8:30 a.m., local time, or at any adjournment(s) or postponement(s) thereof. The votes entitled to be cast by the undersigned will be cast as instructed on the reverse side. If this Proxy is executed but no instruction is given, the votes entitled to be cast by the undersigned will be cast “FOR” Proposals 1, 2, 3 and 4. Additionally, the votes entitled to be cast by the undersigned will be cast in the discretion of the proxy holder on any other matter that may properly come before the Special Meeting or any adjournment(s) or postponement(s) thereof. VOTE VIA THE INTERNET: www.proxy-direct.com VOTE VIA THE TELEPHONE: 1-800-337-3503    JAG_35236_072326 PLEASE MARK, SIGN AND DATE THIS PROXY CARD ON THE REVERSE SIDE AND RETURN IT PROMPTLY USING THE ENCLOSED ENVELOPE. xxxxxxxxxxxxxx    code </w:t>
      </w:r>
      <w:r>
        <w:br w:type="page"/>
      </w:r>
    </w:p>
    <w:p>
      <w:pPr>
        <w:pStyle w:val="HorizontalLine"/>
        <w:bidi w:val="0"/>
        <w:jc w:val="left"/>
        <w:rPr/>
      </w:pPr>
      <w:r>
        <w:rPr/>
      </w:r>
    </w:p>
    <w:p>
      <w:pPr>
        <w:pStyle w:val="TextBody"/>
        <w:bidi w:val="0"/>
        <w:spacing w:before="0" w:after="0"/>
        <w:jc w:val="center"/>
        <w:rPr/>
      </w:pPr>
      <w:r>
        <w:rPr/>
        <w:drawing>
          <wp:inline distT="0" distB="0" distL="0" distR="0">
            <wp:extent cx="7172960" cy="93097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https://jaguarhealth.gcs-web.com/financial-information/annual-reports    Please detach at perforation before mailing. THIS PROXY IS SOLICITED ON BEHALF OF THE BOARD OF DIRECTORS. THE BOARD RECOMMENDS VOTING “FOR” PROPOSALS 1, 2, 3 AND 4. [GRAPHIC APPEARS HERE] TO VOTE, MARK BLOCKS BELOW IN BLUE OR BLACK INK AS SHOWN IN THIS EXAMPLE: X [GRAPHIC APPEARS HERE] A Proposals: 1. Approving, for purposes of Nasdaq Listing Rule 5635(d), the issuance of shares of the Company’s Common Stock issuable upon exchange of shares of the Company’s Series Q Perpetual Preferred Stock, par value $0.0001 per share (the “Series Q Preferred Stock”) issued to certain accredited investors. 2. Approving, for purposes of Rule 5635(d), the repricing of certain warrants issued to investors to purchase an aggregate of 60,781 shares of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3.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4.Approving one or more adjournments of the Special Meeting, if necessary, to solicit additional proxies in the event that there are not sufficient votes at the time of the Special Meeting to approve proposals 1, 2, and 3. [GRAPHIC APPEARS HERE] B Authorized Signatures — This section must be completed for your vote to be counted. — Sign and Date Below Note: Please sign exactly as your name(s) appear(s) on this Proxy Card, and date it. When shares are held jointly, each holder should sign. When signing as attorney, executor, guardian, administrator, trustee, officer of corporation or other entity or in another representative capacity, please give the full title under the signature. Date (mm/dd/yyyy) — Please print date below Signature 1 — Please keep signature within the boxSignature 2 — Please keep signature within the box [GRAPHIC APPEARS HERE]Scanner bar code [GRAPHIC APPEARS HERE] xxxxxxxxxxxxxx    JAG 35236    xxxxxxxx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30158</Words>
  <Characters>153309</Characters>
  <CharactersWithSpaces>183828</CharactersWithSpaces>
  <Paragraphs>1068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