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Jaguar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47010C409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Oasis Capital, LLC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208 Ponce de Leon Ave Ste 1600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Juan, Puerto Rico 00918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1-816-960-0100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firstLine="8"/>
        <w:spacing w:after="0" w:line="194" w:lineRule="auto"/>
        <w:tabs>
          <w:tab w:leader="none" w:pos="121"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47010C300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0" w:lineRule="exact"/>
        <w:rPr>
          <w:rFonts w:ascii="Arial" w:cs="Arial" w:eastAsia="Arial" w:hAnsi="Arial"/>
          <w:sz w:val="18"/>
          <w:szCs w:val="18"/>
          <w:color w:val="auto"/>
        </w:rPr>
      </w:pPr>
    </w:p>
    <w:p>
      <w:pPr>
        <w:jc w:val="both"/>
        <w:ind w:left="800" w:right="9040"/>
        <w:spacing w:after="0" w:line="299" w:lineRule="auto"/>
        <w:rPr>
          <w:rFonts w:ascii="Arial" w:cs="Arial" w:eastAsia="Arial" w:hAnsi="Arial"/>
          <w:sz w:val="18"/>
          <w:szCs w:val="18"/>
          <w:color w:val="auto"/>
        </w:rPr>
      </w:pPr>
      <w:r>
        <w:rPr>
          <w:rFonts w:ascii="Arial" w:cs="Arial" w:eastAsia="Arial" w:hAnsi="Arial"/>
          <w:sz w:val="16"/>
          <w:szCs w:val="16"/>
          <w:color w:val="auto"/>
        </w:rPr>
        <w:t>Oasis Capital, LLC EIN # 66-0897157</w:t>
      </w:r>
    </w:p>
    <w:p>
      <w:pPr>
        <w:ind w:left="800" w:right="5460" w:hanging="79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37" w:lineRule="exact"/>
        <w:rPr>
          <w:rFonts w:ascii="Arial" w:cs="Arial" w:eastAsia="Arial" w:hAnsi="Arial"/>
          <w:sz w:val="18"/>
          <w:szCs w:val="18"/>
          <w:color w:val="auto"/>
        </w:rPr>
      </w:pPr>
    </w:p>
    <w:p>
      <w:pPr>
        <w:ind w:left="1040" w:hanging="236"/>
        <w:spacing w:after="0" w:line="207" w:lineRule="exact"/>
        <w:tabs>
          <w:tab w:leader="none" w:pos="10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060" w:hanging="256"/>
        <w:spacing w:after="0" w:line="207" w:lineRule="exact"/>
        <w:tabs>
          <w:tab w:leader="none" w:pos="10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800" w:hanging="79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jc w:val="both"/>
        <w:ind w:left="800" w:right="6760" w:hanging="792"/>
        <w:spacing w:after="0" w:line="440"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 Territory of Puerto Rico</w:t>
      </w:r>
    </w:p>
    <w:p>
      <w:pPr>
        <w:ind w:left="2500" w:hanging="805"/>
        <w:spacing w:after="0"/>
        <w:tabs>
          <w:tab w:leader="none" w:pos="25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8"/>
              </w:rPr>
              <w:t>NUMBER OF</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4,604,484</w:t>
            </w:r>
          </w:p>
        </w:tc>
        <w:tc>
          <w:tcPr>
            <w:tcW w:w="0" w:type="dxa"/>
            <w:vAlign w:val="bottom"/>
          </w:tcPr>
          <w:p>
            <w:pPr>
              <w:spacing w:after="0"/>
              <w:rPr>
                <w:sz w:val="1"/>
                <w:szCs w:val="1"/>
                <w:color w:val="auto"/>
              </w:rPr>
            </w:pPr>
          </w:p>
        </w:tc>
      </w:tr>
      <w:tr>
        <w:trPr>
          <w:trHeight w:val="107"/>
        </w:trPr>
        <w:tc>
          <w:tcPr>
            <w:tcW w:w="1380" w:type="dxa"/>
            <w:vAlign w:val="bottom"/>
            <w:vMerge w:val="continue"/>
          </w:tcPr>
          <w:p>
            <w:pPr>
              <w:spacing w:after="0"/>
              <w:rPr>
                <w:sz w:val="9"/>
                <w:szCs w:val="9"/>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SHARES</w:t>
            </w:r>
          </w:p>
        </w:tc>
        <w:tc>
          <w:tcPr>
            <w:tcW w:w="560" w:type="dxa"/>
            <w:vAlign w:val="bottom"/>
            <w:gridSpan w:val="2"/>
            <w:vMerge w:val="continue"/>
          </w:tcPr>
          <w:p>
            <w:pPr>
              <w:spacing w:after="0"/>
              <w:rPr>
                <w:sz w:val="10"/>
                <w:szCs w:val="10"/>
                <w:color w:val="auto"/>
              </w:rPr>
            </w:pPr>
          </w:p>
        </w:tc>
        <w:tc>
          <w:tcPr>
            <w:tcW w:w="9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8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OWNED BY</w:t>
            </w:r>
          </w:p>
        </w:tc>
        <w:tc>
          <w:tcPr>
            <w:tcW w:w="1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vMerge w:val="continue"/>
          </w:tcPr>
          <w:p>
            <w:pPr>
              <w:spacing w:after="0"/>
              <w:rPr>
                <w:sz w:val="6"/>
                <w:szCs w:val="6"/>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w:t>
            </w:r>
          </w:p>
        </w:tc>
        <w:tc>
          <w:tcPr>
            <w:tcW w:w="560" w:type="dxa"/>
            <w:vAlign w:val="bottom"/>
            <w:gridSpan w:val="2"/>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80" w:type="dxa"/>
            <w:vAlign w:val="bottom"/>
            <w:vMerge w:val="restart"/>
          </w:tcPr>
          <w:p>
            <w:pPr>
              <w:ind w:left="340"/>
              <w:spacing w:after="0"/>
              <w:rPr>
                <w:sz w:val="20"/>
                <w:szCs w:val="20"/>
                <w:color w:val="auto"/>
              </w:rPr>
            </w:pPr>
            <w:r>
              <w:rPr>
                <w:rFonts w:ascii="Arial" w:cs="Arial" w:eastAsia="Arial" w:hAnsi="Arial"/>
                <w:sz w:val="18"/>
                <w:szCs w:val="18"/>
                <w:color w:val="auto"/>
              </w:rPr>
              <w:t>4,604,484</w:t>
            </w:r>
          </w:p>
        </w:tc>
        <w:tc>
          <w:tcPr>
            <w:tcW w:w="0" w:type="dxa"/>
            <w:vAlign w:val="bottom"/>
          </w:tcPr>
          <w:p>
            <w:pPr>
              <w:spacing w:after="0"/>
              <w:rPr>
                <w:sz w:val="1"/>
                <w:szCs w:val="1"/>
                <w:color w:val="auto"/>
              </w:rPr>
            </w:pPr>
          </w:p>
        </w:tc>
      </w:tr>
      <w:tr>
        <w:trPr>
          <w:trHeight w:val="143"/>
        </w:trPr>
        <w:tc>
          <w:tcPr>
            <w:tcW w:w="138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PERSON WITH</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w:t>
            </w:r>
          </w:p>
        </w:tc>
        <w:tc>
          <w:tcPr>
            <w:tcW w:w="90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4,604,484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9.99%</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0" w:lineRule="exact"/>
        <w:rPr>
          <w:sz w:val="20"/>
          <w:szCs w:val="20"/>
          <w:color w:val="auto"/>
        </w:rPr>
      </w:pPr>
    </w:p>
    <w:p>
      <w:pPr>
        <w:jc w:val="both"/>
        <w:ind w:left="340" w:hanging="332"/>
        <w:spacing w:after="0" w:line="218"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This percentage is calculated based on approximately 46,090,931 shares of common stock outstanding of Jaguar Health, Inc. (the “Company”). Oasis Capital, LLC (“OASIS”) is deemed to beneficially own 9.99% of the common stock of the Company, as a result of OASIS’s equity purchase agreement, which gives OASIS the rights to own an aggregate number of shares of the Company’s common stock in an amount not to exceed 9.99% of shares of common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47010C300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80" w:right="9200" w:hanging="335"/>
        <w:spacing w:after="0" w:line="3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Jaguar Health, Inc.</w:t>
      </w:r>
    </w:p>
    <w:p>
      <w:pPr>
        <w:spacing w:after="0" w:line="123" w:lineRule="exact"/>
        <w:rPr>
          <w:rFonts w:ascii="Arial" w:cs="Arial" w:eastAsia="Arial" w:hAnsi="Arial"/>
          <w:sz w:val="16"/>
          <w:szCs w:val="16"/>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200 Pine Street, Suite 400, San Francisco, CA 94101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80" w:right="8920" w:hanging="335"/>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Oasis Capital, LLC</w:t>
      </w:r>
    </w:p>
    <w:p>
      <w:pPr>
        <w:spacing w:after="0" w:line="123" w:lineRule="exact"/>
        <w:rPr>
          <w:rFonts w:ascii="Arial" w:cs="Arial" w:eastAsia="Arial" w:hAnsi="Arial"/>
          <w:sz w:val="16"/>
          <w:szCs w:val="16"/>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208 Ponce de Leon Ave Ste 1600, San Juan, Puerto Rico 00918</w:t>
      </w:r>
    </w:p>
    <w:p>
      <w:pPr>
        <w:spacing w:after="0" w:line="210"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10" w:lineRule="exact"/>
        <w:rPr>
          <w:rFonts w:ascii="Arial" w:cs="Arial" w:eastAsia="Arial" w:hAnsi="Arial"/>
          <w:sz w:val="18"/>
          <w:szCs w:val="18"/>
          <w:color w:val="auto"/>
        </w:rPr>
      </w:pPr>
    </w:p>
    <w:p>
      <w:pPr>
        <w:ind w:left="680" w:right="8640" w:hanging="335"/>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23" w:lineRule="exact"/>
        <w:rPr>
          <w:rFonts w:ascii="Arial" w:cs="Arial" w:eastAsia="Arial" w:hAnsi="Arial"/>
          <w:sz w:val="16"/>
          <w:szCs w:val="16"/>
          <w:color w:val="auto"/>
        </w:rPr>
      </w:pPr>
    </w:p>
    <w:p>
      <w:pPr>
        <w:ind w:left="680" w:right="9420" w:hanging="335"/>
        <w:spacing w:after="0" w:line="342"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47010C300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20" w:hanging="675"/>
        <w:spacing w:after="0" w:line="239" w:lineRule="exact"/>
        <w:tabs>
          <w:tab w:leader="none" w:pos="683"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47010C300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4,604,484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9.99%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Sole power to vote or to direct the vote  4,604,484</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4,604,484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spacing w:after="0"/>
        <w:tabs>
          <w:tab w:leader="none" w:pos="5580" w:val="left"/>
          <w:tab w:leader="none" w:pos="9940" w:val="left"/>
        </w:tabs>
        <w:rPr>
          <w:sz w:val="20"/>
          <w:szCs w:val="20"/>
          <w:color w:val="auto"/>
        </w:rPr>
      </w:pPr>
      <w:r>
        <w:rPr>
          <w:rFonts w:ascii="Arial" w:cs="Arial" w:eastAsia="Arial" w:hAnsi="Arial"/>
          <w:sz w:val="18"/>
          <w:szCs w:val="18"/>
          <w:color w:val="auto"/>
        </w:rPr>
        <w:t>CUSIP No. 47010C300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right="20"/>
        <w:spacing w:after="0" w:line="311"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January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Adam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Adam Long,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2022-01-11T15:17:14Z</dcterms:created>
  <dcterms:modified xsi:type="dcterms:W3CDTF">2022-01-11T15:17:14Z</dcterms:modified>
</cp:coreProperties>
</file>