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0901d8k.htm"/>
      <w:bookmarkStart w:id="1" w:name="ksd13090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Jaguar Health,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001-36714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46-2956775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Pine Street</w:t>
            </w:r>
          </w:p>
          <w:p>
            <w:pPr>
              <w:pStyle w:val="TableContents"/>
              <w:bidi w:val="0"/>
              <w:spacing w:before="0" w:after="20"/>
              <w:jc w:val="center"/>
              <w:rPr>
                <w:rFonts w:ascii="Times New Roman" w:hAnsi="Times New Roman"/>
                <w:b/>
                <w:sz w:val="20"/>
              </w:rPr>
            </w:pPr>
            <w:r>
              <w:rPr>
                <w:rFonts w:ascii="Times New Roman" w:hAnsi="Times New Roman"/>
                <w:b/>
                <w:sz w:val="20"/>
              </w:rPr>
              <w:t>Suite 400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94104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371-8300</w:t>
      </w:r>
    </w:p>
    <w:p>
      <w:pPr>
        <w:pStyle w:val="TextBody"/>
        <w:bidi w:val="0"/>
        <w:spacing w:before="0" w:after="0"/>
        <w:jc w:val="left"/>
        <w:rPr/>
      </w:pPr>
      <w:r>
        <w:rPr/>
        <w:t> </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400"/>
        <w:gridCol w:w="60"/>
        <w:gridCol w:w="740"/>
        <w:gridCol w:w="60"/>
        <w:gridCol w:w="2525"/>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JAGX</w:t>
            </w:r>
          </w:p>
        </w:tc>
        <w:tc>
          <w:tcPr>
            <w:tcW w:w="6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center"/>
              <w:rPr/>
            </w:pPr>
            <w:r>
              <w:rPr/>
              <w:t>The Nasdaq Stock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January 19, 2021, Jaguar Health, Inc. (the “Company”) issued and sold to Streeterville Capital, LLC (“Streeterville”) a secured promissory note in the original principal amount of $6,220,812.50 (as amended, the “2021 Note”) pursuant to that certain Note Purchase Agreement between the same parties dated as of the even date.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2026, the Company entered into privately negotiated exchange agreements with Streeterville (collectively, the “2021 Note Exchange Agreements”), pursuant to which the Company issued an aggregate of 182,091 shares (the “2021 Note Exchange Shares”) of the Company’s common stock, par value $0.0001 (the “Common Stock”) to Streeterville in exchange for a $1,678,320 reduction in the outstanding balance of the 2021 Note (the “2021 Note Exchange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2021 Note Exchange Agreements include representations, warranties, and covenants customary for a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2021 Note Exchange Agreements does not purport to be complete and is qualified in its entirety by the 2021 Note Exchange Agreements, the form of which is filed herewith as Exhibit 10.1 and incorporated herein by reference.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965"/>
        <w:gridCol w:w="4205"/>
      </w:tblGrid>
      <w:tr>
        <w:trPr/>
        <w:tc>
          <w:tcPr>
            <w:tcW w:w="96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September 23, 2026, the Company entered into privately negotiated exchange agreements with Streeterville, pursuant to which the Company issued an aggregate of 547,898 shares of Common Stock to Streeterville in exchange for a $5,049,909.26 reduction in the outstanding balance of that certain secured promissory note in the original principal amount of $10,810,000 issued and sold by the Company to Streeterville on November 12, 2025 (as amended, the “2025 Note”) (the “2025 Note Exchange Transaction”). Upon completion of the 2025 Note Exchange Transaction, the 2025 Note was fully paid and cancelled.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above in Item 1.01 is hereby incorporated by reference into this Item 3.02 in its entirety. The 2021 Note Exchange Shares were issued in reliance on the exemption from registration provided under Section 3(a)(9) of the Securities Act of 1933, as amended (the “Securities Act”).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September 24, 2026, the Company had approximately 1,463,958 shares of Common Stock issued and outstanding.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5125" w:type="dxa"/>
        <w:jc w:val="left"/>
        <w:tblInd w:w="0" w:type="dxa"/>
        <w:tblLayout w:type="fixed"/>
        <w:tblCellMar>
          <w:top w:w="0" w:type="dxa"/>
          <w:left w:w="0" w:type="dxa"/>
          <w:bottom w:w="0" w:type="dxa"/>
          <w:right w:w="0" w:type="dxa"/>
        </w:tblCellMar>
      </w:tblPr>
      <w:tblGrid>
        <w:gridCol w:w="560"/>
        <w:gridCol w:w="120"/>
        <w:gridCol w:w="444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4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hyperlink w:anchor="d130901dex101.htm">
              <w:r>
                <w:rPr>
                  <w:rStyle w:val="InternetLink"/>
                </w:rPr>
                <w:t xml:space="preserve">Form of the 2021 Note Exchange Agreement.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456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Cover Page Interactive Data File</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Lisa A. Conte</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Lisa A. Conte</w:t>
            </w:r>
          </w:p>
        </w:tc>
      </w:tr>
      <w:tr>
        <w:trPr/>
        <w:tc>
          <w:tcPr>
            <w:tcW w:w="2510" w:type="dxa"/>
            <w:tcBorders/>
            <w:vAlign w:val="center"/>
          </w:tcPr>
          <w:p>
            <w:pPr>
              <w:pStyle w:val="TableContents"/>
              <w:bidi w:val="0"/>
              <w:spacing w:before="0" w:after="283"/>
              <w:jc w:val="left"/>
              <w:rPr/>
            </w:pPr>
            <w:r>
              <w:rPr/>
              <w:t>Date: September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30901dex101.htm"/>
      <w:bookmarkStart w:id="3" w:name="ksd130901dex101"/>
      <w:bookmarkEnd w:id="2"/>
      <w:bookmarkEnd w:id="3"/>
      <w:r>
        <w:rPr>
          <w:rFonts w:ascii="Times New Roman" w:hAnsi="Times New Roman"/>
          <w:b/>
          <w:sz w:val="20"/>
        </w:rPr>
        <w:t xml:space="preserve">Exhibit 10.1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THE EXCHANGE CONTEMPLATED HEREIN IS INTENDED TO COMPORT WITH THE REQUIREMENTS OF SECTION 3(a)(9) OF THE SECURITIES ACT OF 1933, AS AMENDED.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EXCHANGE AGREEMENT </w:t>
      </w:r>
    </w:p>
    <w:p>
      <w:pPr>
        <w:pStyle w:val="TextBody"/>
        <w:bidi w:val="0"/>
        <w:spacing w:before="240" w:after="0"/>
        <w:jc w:val="left"/>
        <w:rPr>
          <w:rFonts w:ascii="Times New Roman" w:hAnsi="Times New Roman"/>
          <w:sz w:val="20"/>
        </w:rPr>
      </w:pPr>
      <w:r>
        <w:rPr>
          <w:rFonts w:ascii="Times New Roman" w:hAnsi="Times New Roman"/>
          <w:sz w:val="20"/>
        </w:rPr>
        <w:t>This Exchange Agreement (this “</w:t>
      </w:r>
      <w:r>
        <w:rPr>
          <w:rFonts w:ascii="Times New Roman" w:hAnsi="Times New Roman"/>
          <w:b/>
          <w:sz w:val="20"/>
        </w:rPr>
        <w:t>Agreement</w:t>
      </w:r>
      <w:r>
        <w:rPr>
          <w:rFonts w:ascii="Times New Roman" w:hAnsi="Times New Roman"/>
          <w:sz w:val="20"/>
        </w:rPr>
        <w:t>”) is entered into as of September 23, 2026 (the “</w:t>
      </w:r>
      <w:r>
        <w:rPr>
          <w:rFonts w:ascii="Times New Roman" w:hAnsi="Times New Roman"/>
          <w:b/>
          <w:sz w:val="20"/>
        </w:rPr>
        <w:t>Effective Date</w:t>
      </w:r>
      <w:r>
        <w:rPr>
          <w:rFonts w:ascii="Times New Roman" w:hAnsi="Times New Roman"/>
          <w:sz w:val="20"/>
        </w:rPr>
        <w:t>”) by and between Streeterville Capital, LLC, a Utah limited liablity company (“</w:t>
      </w:r>
      <w:r>
        <w:rPr>
          <w:rFonts w:ascii="Times New Roman" w:hAnsi="Times New Roman"/>
          <w:b/>
          <w:sz w:val="20"/>
        </w:rPr>
        <w:t>Lender</w:t>
      </w:r>
      <w:r>
        <w:rPr>
          <w:rFonts w:ascii="Times New Roman" w:hAnsi="Times New Roman"/>
          <w:sz w:val="20"/>
        </w:rPr>
        <w:t>”), and Jaguar Health, Inc., a Delaware corporation (“</w:t>
      </w:r>
      <w:r>
        <w:rPr>
          <w:rFonts w:ascii="Times New Roman" w:hAnsi="Times New Roman"/>
          <w:b/>
          <w:sz w:val="20"/>
        </w:rPr>
        <w:t>Borrower</w:t>
      </w:r>
      <w:r>
        <w:rPr>
          <w:rFonts w:ascii="Times New Roman" w:hAnsi="Times New Roman"/>
          <w:sz w:val="20"/>
        </w:rPr>
        <w:t xml:space="preserve">”). Capitalized terms used in this Agreement without definition shall have the meanings given to them in the Original Note (as defined below). </w:t>
      </w:r>
    </w:p>
    <w:p>
      <w:pPr>
        <w:pStyle w:val="TextBody"/>
        <w:bidi w:val="0"/>
        <w:spacing w:before="240" w:after="0"/>
        <w:jc w:val="left"/>
        <w:rPr>
          <w:rFonts w:ascii="Times New Roman" w:hAnsi="Times New Roman"/>
          <w:sz w:val="20"/>
        </w:rPr>
      </w:pPr>
      <w:r>
        <w:rPr>
          <w:rFonts w:ascii="Times New Roman" w:hAnsi="Times New Roman"/>
          <w:sz w:val="20"/>
        </w:rPr>
        <w:t>A. Company previously sold and issued to Investor that certain Secured Promissory Note dated January 19, 2021 (the “</w:t>
      </w:r>
      <w:r>
        <w:rPr>
          <w:rFonts w:ascii="Times New Roman" w:hAnsi="Times New Roman"/>
          <w:b/>
          <w:sz w:val="20"/>
        </w:rPr>
        <w:t>Original Note</w:t>
      </w:r>
      <w:r>
        <w:rPr>
          <w:rFonts w:ascii="Times New Roman" w:hAnsi="Times New Roman"/>
          <w:sz w:val="20"/>
        </w:rPr>
        <w:t>”) pursuant to that certain Note Purchase Agreement dated January 19, 2021 (the “</w:t>
      </w:r>
      <w:r>
        <w:rPr>
          <w:rFonts w:ascii="Times New Roman" w:hAnsi="Times New Roman"/>
          <w:b/>
          <w:sz w:val="20"/>
        </w:rPr>
        <w:t>Purchase Agreement</w:t>
      </w:r>
      <w:r>
        <w:rPr>
          <w:rFonts w:ascii="Times New Roman" w:hAnsi="Times New Roman"/>
          <w:sz w:val="20"/>
        </w:rPr>
        <w:t>,” and together with the Original Note and all other documents entered into in conjunction therewith, the “</w:t>
      </w:r>
      <w:r>
        <w:rPr>
          <w:rFonts w:ascii="Times New Roman" w:hAnsi="Times New Roman"/>
          <w:b/>
          <w:sz w:val="20"/>
        </w:rPr>
        <w:t>Transaction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Subject to the terms of this Agreement, Borrower and Lender desire to partition a new Original Note in the original principal amount of $[______] (the “</w:t>
      </w:r>
      <w:r>
        <w:rPr>
          <w:rFonts w:ascii="Times New Roman" w:hAnsi="Times New Roman"/>
          <w:b/>
          <w:sz w:val="20"/>
        </w:rPr>
        <w:t>Partitioned Note</w:t>
      </w:r>
      <w:r>
        <w:rPr>
          <w:rFonts w:ascii="Times New Roman" w:hAnsi="Times New Roman"/>
          <w:sz w:val="20"/>
        </w:rPr>
        <w:t xml:space="preserve">”) from the Original Note and then cause the outstanding balance of the Original Note to be reduced by an amount equal to the initial outstanding balance of the Partitioned Note. </w:t>
      </w:r>
    </w:p>
    <w:p>
      <w:pPr>
        <w:pStyle w:val="TextBody"/>
        <w:bidi w:val="0"/>
        <w:spacing w:before="240" w:after="0"/>
        <w:jc w:val="left"/>
        <w:rPr>
          <w:rFonts w:ascii="Times New Roman" w:hAnsi="Times New Roman"/>
          <w:sz w:val="20"/>
        </w:rPr>
      </w:pPr>
      <w:r>
        <w:rPr>
          <w:rFonts w:ascii="Times New Roman" w:hAnsi="Times New Roman"/>
          <w:sz w:val="20"/>
        </w:rPr>
        <w:t>C. Borrower and Lender further desire to exchange (such exchange is referred to as the “</w:t>
      </w:r>
      <w:r>
        <w:rPr>
          <w:rFonts w:ascii="Times New Roman" w:hAnsi="Times New Roman"/>
          <w:b/>
          <w:sz w:val="20"/>
        </w:rPr>
        <w:t>Note Exchange</w:t>
      </w:r>
      <w:r>
        <w:rPr>
          <w:rFonts w:ascii="Times New Roman" w:hAnsi="Times New Roman"/>
          <w:sz w:val="20"/>
        </w:rPr>
        <w:t>”) the Partitioned Note for [______] shares of the Company’s Common Stock, par value $0.0001 (the “</w:t>
      </w:r>
      <w:r>
        <w:rPr>
          <w:rFonts w:ascii="Times New Roman" w:hAnsi="Times New Roman"/>
          <w:b/>
          <w:sz w:val="20"/>
        </w:rPr>
        <w:t>Common Stock</w:t>
      </w:r>
      <w:r>
        <w:rPr>
          <w:rFonts w:ascii="Times New Roman" w:hAnsi="Times New Roman"/>
          <w:sz w:val="20"/>
        </w:rPr>
        <w:t>”, and such [______] shares of Common Stock, the “</w:t>
      </w:r>
      <w:r>
        <w:rPr>
          <w:rFonts w:ascii="Times New Roman" w:hAnsi="Times New Roman"/>
          <w:b/>
          <w:sz w:val="20"/>
        </w:rPr>
        <w:t>Exchange Shares</w:t>
      </w:r>
      <w:r>
        <w:rPr>
          <w:rFonts w:ascii="Times New Roman" w:hAnsi="Times New Roman"/>
          <w:sz w:val="20"/>
        </w:rPr>
        <w:t xml:space="preserve">”), according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Note Exchange will consist of Lender surrendering the Partitioned Note in exchange for the Exchange Shares, which will be issued free of any restrictive securities legend. </w:t>
      </w:r>
    </w:p>
    <w:p>
      <w:pPr>
        <w:pStyle w:val="TextBody"/>
        <w:bidi w:val="0"/>
        <w:spacing w:before="240" w:after="0"/>
        <w:jc w:val="left"/>
        <w:rPr>
          <w:rFonts w:ascii="Times New Roman" w:hAnsi="Times New Roman"/>
          <w:sz w:val="20"/>
        </w:rPr>
      </w:pPr>
      <w:r>
        <w:rPr>
          <w:rFonts w:ascii="Times New Roman" w:hAnsi="Times New Roman"/>
          <w:sz w:val="20"/>
        </w:rPr>
        <w:t xml:space="preserve">E. Other than the surrender of the Partitioned Note, no consideration of any kind whatsoever shall be given by Lender to Borrower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Lender and Borrower now desire to exchange the Partitioned Note for the Exchange Shares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good and valuable consideration, the receipt and sufficiency of which are hereby acknowledged, the parties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and Definitions</w:t>
      </w:r>
      <w:r>
        <w:rPr>
          <w:rFonts w:ascii="Times New Roman" w:hAnsi="Times New Roman"/>
          <w:sz w:val="20"/>
        </w:rPr>
        <w:t xml:space="preserve">. Each of the parties hereto acknowledges and agrees that the recitals set forth above in this Agreement are true and accurate, are contractual in nature, and are hereby incorporated into and made a part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Partition</w:t>
      </w:r>
      <w:r>
        <w:rPr>
          <w:rFonts w:ascii="Times New Roman" w:hAnsi="Times New Roman"/>
          <w:sz w:val="20"/>
        </w:rPr>
        <w:t xml:space="preserve">. Effective as of the date hereof, Borrower and Lender agree that the Partitioned Note is hereby partitioned from the Original Note. Following such partition of the Original Note, Borrower and Lender agree that the Original Note shall remain in full force and effect, provided that the outstanding balance of the Original Note shall be reduced by an amount equal to the initial outstanding balance of the Partitioned Note. For avoidance of doubt, the rights, duties, obligations, remedies of Borrower and Lender, and other terms and conditions of the Original Note shall remain unchanged upon the entering into of this Agreement, except with respect to the reduction in the outstanding balance by the amount of the Partitioned Note.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Issuance of Shares</w:t>
      </w:r>
      <w:r>
        <w:rPr>
          <w:rFonts w:ascii="Times New Roman" w:hAnsi="Times New Roman"/>
          <w:sz w:val="20"/>
        </w:rPr>
        <w:t>. Pursuant to the terms and conditions of this Agreement, the Exchange Shares shall be delivered to Lender on or before September 24, 2026 and the Note Exchange shall occur with Lender surrendering the Partitioned Note to Borrower on the Free Trading Date (as defined below). On the Free Trading Date, the Partitioned Note shall be cancelled and all obligations of Borrower under the Partitioned Note shall be deemed fulfilled. All Exchange Shares delivered hereunder shall be delivered via DWAC to Lender’s designated brokerage account. Borrower agrees to provide all necessary cooperation or assistance that may be required to cause all Exchange Shares delivered hereunder to become Free Trading (the first date on which all Exchange Shares become Free Trading, the “</w:t>
      </w:r>
      <w:r>
        <w:rPr>
          <w:rFonts w:ascii="Times New Roman" w:hAnsi="Times New Roman"/>
          <w:b/>
          <w:sz w:val="20"/>
        </w:rPr>
        <w:t>Free Trading Date</w:t>
      </w:r>
      <w:r>
        <w:rPr>
          <w:rFonts w:ascii="Times New Roman" w:hAnsi="Times New Roman"/>
          <w:sz w:val="20"/>
        </w:rPr>
        <w:t>”). For purposes hereof, the term “</w:t>
      </w:r>
      <w:r>
        <w:rPr>
          <w:rFonts w:ascii="Times New Roman" w:hAnsi="Times New Roman"/>
          <w:b/>
          <w:sz w:val="20"/>
        </w:rPr>
        <w:t>Free Trading</w:t>
      </w:r>
      <w:r>
        <w:rPr>
          <w:rFonts w:ascii="Times New Roman" w:hAnsi="Times New Roman"/>
          <w:sz w:val="20"/>
        </w:rPr>
        <w:t xml:space="preserve">” means that (a) the Exchange Shares have been cleared and approved for public resale by the compliance departments of Lender’s brokerage firm and the clearing firm servicing such brokerage, and (b) such shares are held in the name of the clearing firm servicing Lender’s brokerage firm and have been deposited into such clearing firm’s account for the benefit of Lender.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Closing</w:t>
      </w:r>
      <w:r>
        <w:rPr>
          <w:rFonts w:ascii="Times New Roman" w:hAnsi="Times New Roman"/>
          <w:sz w:val="20"/>
        </w:rPr>
        <w:t>. The closing of the transaction contemplated hereby (the “</w:t>
      </w:r>
      <w:r>
        <w:rPr>
          <w:rFonts w:ascii="Times New Roman" w:hAnsi="Times New Roman"/>
          <w:b/>
          <w:sz w:val="20"/>
        </w:rPr>
        <w:t>Closing</w:t>
      </w:r>
      <w:r>
        <w:rPr>
          <w:rFonts w:ascii="Times New Roman" w:hAnsi="Times New Roman"/>
          <w:sz w:val="20"/>
        </w:rPr>
        <w:t xml:space="preserve">”) along with the delivery of the Exchange Shares to Lender shall occur on the date that is mutually agreed to by Borrower and Lender by means of the exchange by express courier and email of .pdf documents, but shall be deemed to have occurred at the offices of Capital Law Partners PLLC in Lehi, Utah.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Holding Period, Tacking and Legal Opinion</w:t>
      </w:r>
      <w:r>
        <w:rPr>
          <w:rFonts w:ascii="Times New Roman" w:hAnsi="Times New Roman"/>
          <w:sz w:val="20"/>
        </w:rPr>
        <w:t>. Borrower represents, warrants and agrees that for the purposes of Rule 144 (“</w:t>
      </w:r>
      <w:r>
        <w:rPr>
          <w:rFonts w:ascii="Times New Roman" w:hAnsi="Times New Roman"/>
          <w:b/>
          <w:sz w:val="20"/>
        </w:rPr>
        <w:t>Rule 144</w:t>
      </w:r>
      <w:r>
        <w:rPr>
          <w:rFonts w:ascii="Times New Roman" w:hAnsi="Times New Roman"/>
          <w:sz w:val="20"/>
        </w:rPr>
        <w:t>”) of the Securities Act of 1933, as amended (the “</w:t>
      </w:r>
      <w:r>
        <w:rPr>
          <w:rFonts w:ascii="Times New Roman" w:hAnsi="Times New Roman"/>
          <w:b/>
          <w:sz w:val="20"/>
        </w:rPr>
        <w:t>Securities Act</w:t>
      </w:r>
      <w:r>
        <w:rPr>
          <w:rFonts w:ascii="Times New Roman" w:hAnsi="Times New Roman"/>
          <w:sz w:val="20"/>
        </w:rPr>
        <w:t xml:space="preserve">”), the holding period of the Partitioned Note and the Exchange Shares will include Lender’s holding period of the Original Note from November 12, 2025. Borrower agrees not to take a position contrary to this Section 5 in any document, statement, setting, or situation. Borrower agrees to take all action necessary to issue the Exchange Shares without restriction, and not containing any restrictive legend without the need for any action by Lender; provided that the applicable holding period has been met. In furtherance thereof, prior to the Closing, counsel to Lender may, in its sole discretion, provide an opinion that: (a) the Exchange Shares may be resold pursuant to Rule 144 without volume or manner-of-sale restrictions; and (b) the transactions contemplated hereby and all other documents associated with this transaction comport with the requirements of Section 3(a)(9) of the Securities Act. Borrower represents that it is not subject to Rule 144(i). The Exchange Shares are being issued in substitution of and exchange for and not in satisfaction of the Partitioned Note. The Exchange Shares shall not constitute a novation or satisfaction and accord of the Partitioned Note. Borrower acknowledges and understands that the representations and agreements of Borrower in this Section 5 are a material inducement to Lender’s decision to consummate the transactions contemplated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Borrower’s Representations, Warranties and Agreements</w:t>
      </w:r>
      <w:r>
        <w:rPr>
          <w:rFonts w:ascii="Times New Roman" w:hAnsi="Times New Roman"/>
          <w:sz w:val="20"/>
        </w:rPr>
        <w:t xml:space="preserve">. In order to induce Lender to enter into this Agreement, Borrower, for itself, and for its affiliates, successors and assigns, hereby acknowledges, represents, warrants and agrees as follows: (a) Borrower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Borrower hereunder, (c) no Event of Default has occurred under the Original Note and any Events of Default that may have occurred thereunder have not been, and are not hereby, waived by Lender, (d) except as specifically set forth herein, nothing herein shall in any manner release, lessen, modify or otherwise affect Borrower’s obligations under the Original Note, (e) the issuance of the Exchange Shares is duly authorized by all necessary corporate action and the Exchange Shares are validly issued, fully paid and non-assessable, free and clear of all taxes, liens, claims, pledges, mortgages, restrictions, obligations, security interests and encumbrances of any kind, nature and description, (f) Borrower has not received any consideration in any form whatsoever for entering into this Agreement, other than the surrender of the Partitioned Note, and (g) Borrower has taken no action which would give rise to any claim by any person for a brokerage commission, placement agent or finder’s fee or other similar payment by Borrower related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Lender’s Representations, Warranties and Agreements</w:t>
      </w:r>
      <w:r>
        <w:rPr>
          <w:rFonts w:ascii="Times New Roman" w:hAnsi="Times New Roman"/>
          <w:sz w:val="20"/>
        </w:rPr>
        <w:t xml:space="preserve">. In order to induce Borrower to enter into this Agreement, Lender, for itself, and for its affiliates, successors and assigns, hereby acknowledges, represents, warrants and agrees as follows: (a) Lender has full power and authority to enter into this Agreement and to incur and perform all obligations and covenants contained herein, all of which have been duly authorized by all proper and necessary action, (b) no consent, approval, filing or registration with or notice to any governmental authority is required as a condition to the validity of this Agreement or the performance of any of the obligations of Lender hereunder, (c) Lender has taken no action which would give rise to any claim by any person for a brokerage commission, placement agent or finder’s fee or other similar payment by Borrower related to this Agreement, (d) Lender is not currently an affiliate of the Borrower and has not been an affiliate of the Borrower for the prior three months, and (e) Lender, together with its affiliates, does not, and will not following the receipt of the Exchange Shares, beneficially own more than 9.99% of the number of shares of Common Stock outstanding on the Effective Date. For purposes of Section 7(f), beneficial ownership of Common Stock will be determined pursuant to Section 13(d)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Governing Law; Venue</w:t>
      </w:r>
      <w:r>
        <w:rPr>
          <w:rFonts w:ascii="Times New Roman" w:hAnsi="Times New Roman"/>
          <w:sz w:val="20"/>
        </w:rPr>
        <w:t xml:space="preserve">. This Agreement shall be construed and enforced in accordance with, and all questions concerning the construction, validity, interpretation and performance of this Agreement shall be governed by, the internal laws of the State of Utah, without giving effect to any choice of law or conflict of law provision or rule (whether of the State of Utah or any other jurisdictions) that would cause the application of the laws of any jurisdictions other than the State of Utah. The provisions set forth in the Purchase Agreement to determine the proper venue for any disputes are incorporated herein by this reference. The parties agree that the Arbitration Provisions shall apply to any dispute that may arise between Borrower and Lender under this Agreement. </w:t>
      </w:r>
      <w:r>
        <w:rPr>
          <w:rFonts w:ascii="Times New Roman" w:hAnsi="Times New Roman"/>
          <w:b/>
          <w:sz w:val="20"/>
        </w:rPr>
        <w:t xml:space="preserve">BORROWER HEREBY IRREVOCABLY WAIVES ANY RIGHT IT MAY HAVE TO, AND AGREES NOT TO REQUEST, A JURY TRIAL FOR THE ADJUDICATION OF ANY DISPUTE HEREUNDER OR IN CONNECTION WITH OR </w:t>
      </w:r>
      <w:r>
        <w:rPr>
          <w:rFonts w:ascii="Times New Roman" w:hAnsi="Times New Roman"/>
          <w:sz w:val="20"/>
        </w:rPr>
        <w:t xml:space="preserve">ARISING OUT OF THIS AGREEMENT OR ANY TRANSACTION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Counterparts</w:t>
      </w:r>
      <w:r>
        <w:rPr>
          <w:rFonts w:ascii="Times New Roman" w:hAnsi="Times New Roman"/>
          <w:sz w:val="20"/>
        </w:rPr>
        <w:t xml:space="preserve">. This Agreement may be executed in any number of counterparts with the same effect as if all signing parties had signed the same document. All counterparts shall be construed together and constitute the same instrument. The exchange of copies of this Agreement and of signature pages by facsimile transmission or other electronic transmission (including email) shall constitute effective execution and delivery of this Agreement as to the parties and may be used in lieu of the original Agreement for all purposes. Signatures of the parties transmitted by facsimile transmission or other electronic transmission (including email)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Attorneys’ Fees</w:t>
      </w:r>
      <w:r>
        <w:rPr>
          <w:rFonts w:ascii="Times New Roman" w:hAnsi="Times New Roman"/>
          <w:sz w:val="20"/>
        </w:rPr>
        <w:t xml:space="preserve">. In the event of any arbitration or action at law or in equity to enforce or interpret the terms of this Agreement, the parties agree that the party who is awarded the most money shall be deemed the prevailing party for all purposes and shall therefore be entitled to an additional award of the full amount of the attorneys’ fees and expenses paid by such prevailing party in connection with the arbitration, litigation and/or dispute without reduction or apportionment based upon the individual claims or defenses giving rise to the fees and expenses. Nothing herein shall restrict or impair an arbitrator’s or a court’s power to award fees and expenses for frivolous or bad faith pleading.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Reliance</w:t>
      </w:r>
      <w:r>
        <w:rPr>
          <w:rFonts w:ascii="Times New Roman" w:hAnsi="Times New Roman"/>
          <w:sz w:val="20"/>
        </w:rPr>
        <w:t xml:space="preserve">. Borrower acknowledges and agrees that neither Lender nor any of its officers, directors, members, managers, equity holders, representatives or agents has made any representations or warranties to Borrower or any of its agents, representatives, officers, directors, or employees except as expressly set forth in this Agreement and the Transaction Documents and, in making its decision to enter into the transactions contemplated by this Agreement, Borrower is not relying on any representation, warranty, covenant or promise of Lender or its officers, directors, members, managers, equity holders, agents or representatives other than as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Severability</w:t>
      </w:r>
      <w:r>
        <w:rPr>
          <w:rFonts w:ascii="Times New Roman" w:hAnsi="Times New Roman"/>
          <w:sz w:val="20"/>
        </w:rPr>
        <w:t xml:space="preserve">. If any part of this Agreement is construed to be in violation of any law, such part shall be modified to achieve the objective of the parties to the fullest extent permitted and the balance of this Agreement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Entire Agreement</w:t>
      </w:r>
      <w:r>
        <w:rPr>
          <w:rFonts w:ascii="Times New Roman" w:hAnsi="Times New Roman"/>
          <w:sz w:val="20"/>
        </w:rPr>
        <w:t xml:space="preserve">. This Agreement, together with the Transaction Documents, and all other documents referred to herein, supersedes all other prior oral or written agreements between Borrower, Lender, its affiliates and persons acting on its behalf with respect to the matters discussed herein, and this Agreement and the instruments referenced herein contain the entire understanding of the parties with respect to the matters covered herein and therein and, except as specifically set forth herein or therein, neither Lender nor Borrower makes any representation, warranty, covenant or undertaking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Amendments</w:t>
      </w:r>
      <w:r>
        <w:rPr>
          <w:rFonts w:ascii="Times New Roman" w:hAnsi="Times New Roman"/>
          <w:sz w:val="20"/>
        </w:rPr>
        <w:t xml:space="preserve">. This Agreement may be amended, modified, or supplemented only by written agreement of the parties. No provision of this Agreement may be waived except in writing signed by the party against whom such waiver is sought to be enforced.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the parties and their respective successors and assigns. This Agreement or any of the severable rights and obligations inuring to the benefit of or to be performed by Lender hereunder may be assigned by Lender to a third party, including its financing sources, in whole or in part. Borrower may not assign this Agreement or any of its obligations herein without the prior written consent of Lender.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Continuing Enforceability; Conflict Between Documents</w:t>
      </w:r>
      <w:r>
        <w:rPr>
          <w:rFonts w:ascii="Times New Roman" w:hAnsi="Times New Roman"/>
          <w:sz w:val="20"/>
        </w:rPr>
        <w:t xml:space="preserve">. Except as otherwise modified by this Agreement, the Original Note and each of the other Transaction Documents shall remain in full force and effect, enforceable in accordance with all of its original terms and provisions. This Agreement shall not be effective or binding unless and until it is fully executed and delivered by Lender and Borrower. If there is any conflict between the terms of this Agreement, on the one hand, and the Original Note or any other Transaction Document, on the other hand, the terms of this Agreement shall prevail.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Time of Essence</w:t>
      </w:r>
      <w:r>
        <w:rPr>
          <w:rFonts w:ascii="Times New Roman" w:hAnsi="Times New Roman"/>
          <w:sz w:val="20"/>
        </w:rPr>
        <w:t xml:space="preserve">. Time is of the essence with respect to each and every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Unless otherwise specifically provided for herein, all notices, demands or requests required or permitted under this Agreement to be given to Borrower or Lender shall be given as set forth in the “Notices” section of the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Further Assurances</w:t>
      </w:r>
      <w:r>
        <w:rPr>
          <w:rFonts w:ascii="Times New Roman" w:hAnsi="Times New Roman"/>
          <w:sz w:val="20"/>
        </w:rPr>
        <w:t xml:space="preserve">.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executed this Agreement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JAGUAR HEALTH,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Lisa A. Conte, CEO &amp;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STREETERVILLE CAPITAL, LLC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pPr>
            <w:r>
              <w:rPr/>
              <w:t> </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John M. Fife, President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Exchange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3281</Words>
  <Characters>17641</Characters>
  <CharactersWithSpaces>20919</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