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3809dnt10q.htm"/>
      <w:bookmarkStart w:id="1" w:name="ksd103809dnt10q"/>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12b-25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right"/>
        <w:rPr>
          <w:rFonts w:ascii="Times New Roman" w:hAnsi="Times New Roman"/>
          <w:sz w:val="20"/>
        </w:rPr>
      </w:pPr>
      <w:r>
        <w:rPr>
          <w:rFonts w:ascii="Times New Roman" w:hAnsi="Times New Roman"/>
          <w:sz w:val="20"/>
        </w:rPr>
        <w:t xml:space="preserve">SEC FILE NUMBER 001-36714 </w:t>
      </w:r>
    </w:p>
    <w:p>
      <w:pPr>
        <w:pStyle w:val="TextBody"/>
        <w:bidi w:val="0"/>
        <w:spacing w:before="0" w:after="0"/>
        <w:jc w:val="right"/>
        <w:rPr>
          <w:rFonts w:ascii="Times New Roman" w:hAnsi="Times New Roman"/>
          <w:sz w:val="20"/>
        </w:rPr>
      </w:pPr>
      <w:r>
        <w:rPr>
          <w:rFonts w:ascii="Times New Roman" w:hAnsi="Times New Roman"/>
          <w:sz w:val="20"/>
        </w:rPr>
        <w:t>CUSIP NUMBER 47010C 862</w:t>
      </w:r>
    </w:p>
    <w:p>
      <w:pPr>
        <w:pStyle w:val="TextBody"/>
        <w:bidi w:val="0"/>
        <w:spacing w:before="240" w:after="0"/>
        <w:jc w:val="center"/>
        <w:rPr>
          <w:rFonts w:ascii="Times New Roman" w:hAnsi="Times New Roman"/>
          <w:b/>
          <w:sz w:val="24"/>
        </w:rPr>
      </w:pPr>
      <w:r>
        <w:rPr>
          <w:rFonts w:ascii="Times New Roman" w:hAnsi="Times New Roman"/>
          <w:b/>
          <w:sz w:val="24"/>
        </w:rPr>
        <w:t xml:space="preserve">NOTIFICATION OF LATE FILING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9"/>
        <w:gridCol w:w="101"/>
        <w:gridCol w:w="7145"/>
      </w:tblGrid>
      <w:tr>
        <w:trPr/>
        <w:tc>
          <w:tcPr>
            <w:tcW w:w="295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145" w:type="dxa"/>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right"/>
              <w:rPr>
                <w:i/>
              </w:rPr>
            </w:pPr>
            <w:r>
              <w:rPr>
                <w:i/>
              </w:rPr>
              <w:t>(Check one): </w:t>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0"/>
              <w:jc w:val="left"/>
              <w:rPr/>
            </w:pPr>
            <w:r>
              <w:rPr/>
              <w:t>☐ </w:t>
            </w:r>
            <w:r>
              <w:rPr>
                <w:rFonts w:ascii="Times New Roman" w:hAnsi="Times New Roman"/>
                <w:sz w:val="20"/>
              </w:rPr>
              <w:t>Form 10-K  ☐ Form 20-F  ☐ Form 11-K  ☒ Form 10-Q</w:t>
            </w:r>
          </w:p>
          <w:p>
            <w:pPr>
              <w:pStyle w:val="TableContents"/>
              <w:bidi w:val="0"/>
              <w:spacing w:before="0" w:after="20"/>
              <w:jc w:val="left"/>
              <w:rPr/>
            </w:pPr>
            <w:r>
              <w:rPr/>
              <w:t>☐ </w:t>
            </w:r>
            <w:r>
              <w:rPr>
                <w:rFonts w:ascii="Times New Roman" w:hAnsi="Times New Roman"/>
                <w:sz w:val="20"/>
              </w:rPr>
              <w:t>Form 10-D  ☐ Form N-CEN  ☐ Form N-CSR</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For Period Ended: June 30, 2026</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☐ </w:t>
            </w:r>
            <w:r>
              <w:rPr/>
              <w:t>Transition Report on Form 10-K</w:t>
            </w:r>
          </w:p>
        </w:tc>
      </w:tr>
      <w:tr>
        <w:trPr>
          <w:trHeight w:val="3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☐ </w:t>
            </w:r>
            <w:r>
              <w:rPr/>
              <w:t>Transition Report on Form 20-F</w:t>
            </w:r>
          </w:p>
        </w:tc>
      </w:tr>
      <w:tr>
        <w:trPr>
          <w:trHeight w:val="3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☐ </w:t>
            </w:r>
            <w:r>
              <w:rPr/>
              <w:t>Transition Report on Form 11-K</w:t>
            </w:r>
          </w:p>
        </w:tc>
      </w:tr>
      <w:tr>
        <w:trPr>
          <w:trHeight w:val="3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☐ </w:t>
            </w:r>
            <w:r>
              <w:rPr/>
              <w:t>Transition Report on Form 10-Q</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For the Transition Period Ended: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0205"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2" w:space="0" w:color="000000"/>
              <w:bottom w:val="single" w:sz="2" w:space="0" w:color="000000"/>
              <w:right w:val="single" w:sz="2" w:space="0" w:color="000000"/>
            </w:tcBorders>
            <w:tcMar>
              <w:left w:w="160" w:type="dxa"/>
              <w:bottom w:w="28" w:type="dxa"/>
              <w:right w:w="40" w:type="dxa"/>
            </w:tcMar>
          </w:tcPr>
          <w:p>
            <w:pPr>
              <w:pStyle w:val="TableContents"/>
              <w:bidi w:val="0"/>
              <w:spacing w:before="0" w:after="0"/>
              <w:jc w:val="center"/>
              <w:rPr>
                <w:rFonts w:ascii="Times New Roman" w:hAnsi="Times New Roman"/>
                <w:i/>
                <w:sz w:val="20"/>
              </w:rPr>
            </w:pPr>
            <w:r>
              <w:rPr>
                <w:rFonts w:ascii="Times New Roman" w:hAnsi="Times New Roman"/>
                <w:i/>
                <w:sz w:val="20"/>
              </w:rPr>
              <w:t>Read Instructions (on back page) Before Preparing Form. Please Print or Type.</w:t>
            </w:r>
          </w:p>
          <w:p>
            <w:pPr>
              <w:pStyle w:val="TableContents"/>
              <w:bidi w:val="0"/>
              <w:spacing w:before="0" w:after="0"/>
              <w:jc w:val="center"/>
              <w:rPr>
                <w:rFonts w:ascii="Times New Roman" w:hAnsi="Times New Roman"/>
                <w:b/>
                <w:sz w:val="20"/>
              </w:rPr>
            </w:pPr>
            <w:r>
              <w:rPr>
                <w:rFonts w:ascii="Times New Roman" w:hAnsi="Times New Roman"/>
                <w:b/>
                <w:sz w:val="20"/>
              </w:rPr>
              <w:t>Nothing in this Form shall be construed to imply that the Commission has verified any information contained herein.</w:t>
            </w:r>
          </w:p>
          <w:p>
            <w:pPr>
              <w:pStyle w:val="TableContents"/>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notification relates to a portion of the filing checked above, identify the Item(s) to which the notification relates: </w:t>
      </w:r>
    </w:p>
    <w:p>
      <w:pPr>
        <w:pStyle w:val="TextBody"/>
        <w:bidi w:val="0"/>
        <w:spacing w:before="0" w:after="0"/>
        <w:jc w:val="left"/>
        <w:rPr/>
      </w:pPr>
      <w:r>
        <w:rPr/>
        <w:t> </w:t>
      </w:r>
    </w:p>
    <w:p>
      <w:pPr>
        <w:pStyle w:val="TextBody"/>
        <w:bidi w:val="0"/>
        <w:spacing w:before="12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360" w:after="0"/>
        <w:jc w:val="center"/>
        <w:rPr>
          <w:rFonts w:ascii="Times New Roman" w:hAnsi="Times New Roman"/>
          <w:b/>
          <w:sz w:val="20"/>
        </w:rPr>
      </w:pPr>
      <w:r>
        <w:rPr>
          <w:rFonts w:ascii="Times New Roman" w:hAnsi="Times New Roman"/>
          <w:b/>
          <w:sz w:val="20"/>
        </w:rPr>
        <w:t xml:space="preserve">PART I — REGISTRANT INFORMATION </w:t>
      </w:r>
    </w:p>
    <w:p>
      <w:pPr>
        <w:pStyle w:val="TextBody"/>
        <w:bidi w:val="0"/>
        <w:spacing w:before="240" w:after="0"/>
        <w:jc w:val="center"/>
        <w:rPr>
          <w:rFonts w:ascii="Times New Roman" w:hAnsi="Times New Roman"/>
          <w:b/>
          <w:sz w:val="44"/>
        </w:rPr>
      </w:pPr>
      <w:r>
        <w:rPr>
          <w:rFonts w:ascii="Times New Roman" w:hAnsi="Times New Roman"/>
          <w:b/>
          <w:sz w:val="44"/>
        </w:rPr>
        <w:t xml:space="preserve">Jaguar Health, Inc. </w:t>
      </w:r>
    </w:p>
    <w:p>
      <w:pPr>
        <w:pStyle w:val="TextBody"/>
        <w:bidi w:val="0"/>
        <w:spacing w:before="0" w:after="0"/>
        <w:jc w:val="center"/>
        <w:rPr>
          <w:rFonts w:ascii="Times New Roman" w:hAnsi="Times New Roman"/>
          <w:sz w:val="20"/>
        </w:rPr>
      </w:pPr>
      <w:r>
        <w:rPr>
          <w:rFonts w:ascii="Times New Roman" w:hAnsi="Times New Roman"/>
          <w:sz w:val="20"/>
        </w:rPr>
        <w:t xml:space="preserve">Full Name of Registrant </w:t>
      </w:r>
    </w:p>
    <w:p>
      <w:pPr>
        <w:pStyle w:val="TextBody"/>
        <w:bidi w:val="0"/>
        <w:spacing w:before="240" w:after="0"/>
        <w:jc w:val="center"/>
        <w:rPr>
          <w:rFonts w:ascii="Times New Roman" w:hAnsi="Times New Roman"/>
          <w:b/>
          <w:sz w:val="20"/>
        </w:rPr>
      </w:pPr>
      <w:r>
        <w:rPr>
          <w:rFonts w:ascii="Times New Roman" w:hAnsi="Times New Roman"/>
          <w:b/>
          <w:sz w:val="20"/>
        </w:rPr>
        <w:t xml:space="preserve">Former Name if Applicable </w:t>
      </w:r>
    </w:p>
    <w:p>
      <w:pPr>
        <w:pStyle w:val="TextBody"/>
        <w:bidi w:val="0"/>
        <w:spacing w:before="0" w:after="0"/>
        <w:jc w:val="center"/>
        <w:rPr>
          <w:rFonts w:ascii="Times New Roman" w:hAnsi="Times New Roman"/>
          <w:sz w:val="16"/>
        </w:rPr>
      </w:pPr>
      <w:r>
        <w:rPr>
          <w:rFonts w:ascii="Times New Roman" w:hAnsi="Times New Roman"/>
          <w:sz w:val="16"/>
        </w:rPr>
        <w:t xml:space="preserve">200 Pine Street, Suite 400 </w:t>
      </w:r>
    </w:p>
    <w:p>
      <w:pPr>
        <w:pStyle w:val="TextBody"/>
        <w:bidi w:val="0"/>
        <w:spacing w:before="240" w:after="0"/>
        <w:jc w:val="center"/>
        <w:rPr>
          <w:rFonts w:ascii="Times New Roman" w:hAnsi="Times New Roman"/>
          <w:sz w:val="16"/>
        </w:rPr>
      </w:pPr>
      <w:r>
        <w:rPr>
          <w:rFonts w:ascii="Times New Roman" w:hAnsi="Times New Roman"/>
          <w:sz w:val="16"/>
        </w:rPr>
        <w:t xml:space="preserve">Address of Principal Executive Office (Street and Number) </w:t>
      </w:r>
    </w:p>
    <w:p>
      <w:pPr>
        <w:pStyle w:val="TextBody"/>
        <w:bidi w:val="0"/>
        <w:spacing w:before="240" w:after="0"/>
        <w:jc w:val="center"/>
        <w:rPr>
          <w:rFonts w:ascii="Times New Roman" w:hAnsi="Times New Roman"/>
          <w:b/>
          <w:sz w:val="20"/>
        </w:rPr>
      </w:pPr>
      <w:r>
        <w:rPr>
          <w:rFonts w:ascii="Times New Roman" w:hAnsi="Times New Roman"/>
          <w:b/>
          <w:sz w:val="20"/>
        </w:rPr>
        <w:t xml:space="preserve">San Francisco, California, 94104 </w:t>
      </w:r>
    </w:p>
    <w:p>
      <w:pPr>
        <w:pStyle w:val="TextBody"/>
        <w:bidi w:val="0"/>
        <w:spacing w:before="0" w:after="0"/>
        <w:jc w:val="center"/>
        <w:rPr>
          <w:rFonts w:ascii="Times New Roman" w:hAnsi="Times New Roman"/>
          <w:sz w:val="16"/>
        </w:rPr>
      </w:pPr>
      <w:r>
        <w:rPr>
          <w:rFonts w:ascii="Times New Roman" w:hAnsi="Times New Roman"/>
          <w:sz w:val="16"/>
        </w:rPr>
        <w:t xml:space="preserve">City, State and Zip Code </w:t>
      </w:r>
    </w:p>
    <w:p>
      <w:pPr>
        <w:pStyle w:val="TextBody"/>
        <w:bidi w:val="0"/>
        <w:spacing w:before="360" w:after="0"/>
        <w:jc w:val="center"/>
        <w:rPr>
          <w:rFonts w:ascii="Times New Roman" w:hAnsi="Times New Roman"/>
          <w:b/>
          <w:sz w:val="20"/>
        </w:rPr>
      </w:pPr>
      <w:r>
        <w:rPr>
          <w:rFonts w:ascii="Times New Roman" w:hAnsi="Times New Roman"/>
          <w:b/>
          <w:sz w:val="20"/>
        </w:rPr>
        <w:t xml:space="preserve">PART II — RULES 12b-25(b) AND (c) </w:t>
      </w:r>
    </w:p>
    <w:p>
      <w:pPr>
        <w:pStyle w:val="TextBody"/>
        <w:bidi w:val="0"/>
        <w:spacing w:before="240" w:after="0"/>
        <w:jc w:val="left"/>
        <w:rPr>
          <w:rFonts w:ascii="Times New Roman" w:hAnsi="Times New Roman"/>
          <w:sz w:val="20"/>
        </w:rPr>
      </w:pPr>
      <w:r>
        <w:rPr>
          <w:rFonts w:ascii="Times New Roman" w:hAnsi="Times New Roman"/>
          <w:sz w:val="20"/>
        </w:rPr>
        <w:t xml:space="preserve">If the subject report could not be filed without unreasonable effort or expense and the registrant seeks relief pursuant to Rule 12b-25(b), the following should be completed. (Check box if appropriate)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5"/>
        <w:gridCol w:w="104"/>
        <w:gridCol w:w="215"/>
        <w:gridCol w:w="104"/>
        <w:gridCol w:w="9467"/>
      </w:tblGrid>
      <w:tr>
        <w:trPr/>
        <w:tc>
          <w:tcPr>
            <w:tcW w:w="31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9467" w:type="dxa"/>
            <w:tcBorders/>
            <w:vAlign w:val="center"/>
          </w:tcPr>
          <w:p>
            <w:pPr>
              <w:pStyle w:val="TableContents"/>
              <w:bidi w:val="0"/>
              <w:spacing w:before="0" w:after="283"/>
              <w:jc w:val="left"/>
              <w:rPr>
                <w:sz w:val="4"/>
                <w:szCs w:val="4"/>
              </w:rPr>
            </w:pPr>
            <w:r>
              <w:rPr>
                <w:sz w:val="4"/>
                <w:szCs w:val="4"/>
              </w:rPr>
            </w:r>
          </w:p>
        </w:tc>
      </w:tr>
      <w:tr>
        <w:trPr/>
        <w:tc>
          <w:tcPr>
            <w:tcW w:w="315" w:type="dxa"/>
            <w:vMerge w:val="restart"/>
            <w:tcBorders>
              <w:right w:val="single" w:sz="2" w:space="0" w:color="000000"/>
            </w:tcBorders>
            <w:tcMar>
              <w:right w:w="28" w:type="dxa"/>
            </w:tcMar>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15" w:type="dxa"/>
            <w:tcBorders/>
          </w:tcPr>
          <w:p>
            <w:pPr>
              <w:pStyle w:val="TableContents"/>
              <w:bidi w:val="0"/>
              <w:spacing w:before="0" w:after="283"/>
              <w:jc w:val="left"/>
              <w:rPr/>
            </w:pPr>
            <w:r>
              <w:rPr/>
              <w:t>(a)</w:t>
            </w:r>
          </w:p>
        </w:tc>
        <w:tc>
          <w:tcPr>
            <w:tcW w:w="104" w:type="dxa"/>
            <w:tcBorders/>
            <w:vAlign w:val="bottom"/>
          </w:tcPr>
          <w:p>
            <w:pPr>
              <w:pStyle w:val="TableContents"/>
              <w:bidi w:val="0"/>
              <w:spacing w:before="0" w:after="283"/>
              <w:jc w:val="left"/>
              <w:rPr/>
            </w:pPr>
            <w:r>
              <w:rPr/>
              <w:t> </w:t>
            </w:r>
          </w:p>
        </w:tc>
        <w:tc>
          <w:tcPr>
            <w:tcW w:w="9467" w:type="dxa"/>
            <w:tcBorders/>
          </w:tcPr>
          <w:p>
            <w:pPr>
              <w:pStyle w:val="TableContents"/>
              <w:bidi w:val="0"/>
              <w:spacing w:before="0" w:after="283"/>
              <w:jc w:val="left"/>
              <w:rPr/>
            </w:pPr>
            <w:r>
              <w:rPr/>
              <w:t>The reason described in reasonable detail in Part III of this form could not be eliminated without unreasonable effort or expense;</w:t>
            </w:r>
          </w:p>
        </w:tc>
      </w:tr>
      <w:tr>
        <w:trPr/>
        <w:tc>
          <w:tcPr>
            <w:tcW w:w="315" w:type="dxa"/>
            <w:vMerge w:val="continue"/>
            <w:tcBorders>
              <w:right w:val="single" w:sz="2" w:space="0" w:color="000000"/>
            </w:tcBorders>
            <w:tcMar>
              <w:right w:w="28" w:type="dxa"/>
            </w:tcMar>
            <w:vAlign w:val="center"/>
          </w:tcPr>
          <w:p>
            <w:pPr>
              <w:pStyle w:val="Normal"/>
              <w:bidi w:val="0"/>
              <w:jc w:val="left"/>
              <w:rPr/>
            </w:pPr>
            <w:r>
              <w:rPr/>
            </w:r>
          </w:p>
        </w:tc>
        <w:tc>
          <w:tcPr>
            <w:tcW w:w="104" w:type="dxa"/>
            <w:tcBorders/>
            <w:vAlign w:val="bottom"/>
          </w:tcPr>
          <w:p>
            <w:pPr>
              <w:pStyle w:val="TableContents"/>
              <w:bidi w:val="0"/>
              <w:spacing w:before="0" w:after="283"/>
              <w:jc w:val="left"/>
              <w:rPr/>
            </w:pPr>
            <w:r>
              <w:rPr/>
              <w:t> </w:t>
            </w:r>
          </w:p>
        </w:tc>
        <w:tc>
          <w:tcPr>
            <w:tcW w:w="215" w:type="dxa"/>
            <w:tcBorders/>
          </w:tcPr>
          <w:p>
            <w:pPr>
              <w:pStyle w:val="TableContents"/>
              <w:bidi w:val="0"/>
              <w:spacing w:before="0" w:after="283"/>
              <w:jc w:val="left"/>
              <w:rPr/>
            </w:pPr>
            <w:r>
              <w:rPr/>
              <w:t>(b)</w:t>
            </w:r>
          </w:p>
        </w:tc>
        <w:tc>
          <w:tcPr>
            <w:tcW w:w="104" w:type="dxa"/>
            <w:tcBorders/>
            <w:vAlign w:val="bottom"/>
          </w:tcPr>
          <w:p>
            <w:pPr>
              <w:pStyle w:val="TableContents"/>
              <w:bidi w:val="0"/>
              <w:spacing w:before="0" w:after="283"/>
              <w:jc w:val="left"/>
              <w:rPr/>
            </w:pPr>
            <w:r>
              <w:rPr/>
              <w:t> </w:t>
            </w:r>
          </w:p>
        </w:tc>
        <w:tc>
          <w:tcPr>
            <w:tcW w:w="9467" w:type="dxa"/>
            <w:tcBorders/>
          </w:tcPr>
          <w:p>
            <w:pPr>
              <w:pStyle w:val="TableContents"/>
              <w:bidi w:val="0"/>
              <w:spacing w:before="0" w:after="283"/>
              <w:jc w:val="left"/>
              <w:rPr/>
            </w:pPr>
            <w:r>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315" w:type="dxa"/>
            <w:vMerge w:val="continue"/>
            <w:tcBorders>
              <w:right w:val="single" w:sz="2" w:space="0" w:color="000000"/>
            </w:tcBorders>
            <w:tcMar>
              <w:right w:w="28" w:type="dxa"/>
            </w:tcMar>
            <w:vAlign w:val="center"/>
          </w:tcPr>
          <w:p>
            <w:pPr>
              <w:pStyle w:val="Normal"/>
              <w:bidi w:val="0"/>
              <w:jc w:val="left"/>
              <w:rPr/>
            </w:pPr>
            <w:r>
              <w:rPr/>
            </w:r>
          </w:p>
        </w:tc>
        <w:tc>
          <w:tcPr>
            <w:tcW w:w="104" w:type="dxa"/>
            <w:tcBorders/>
            <w:vAlign w:val="bottom"/>
          </w:tcPr>
          <w:p>
            <w:pPr>
              <w:pStyle w:val="TableContents"/>
              <w:bidi w:val="0"/>
              <w:spacing w:before="0" w:after="283"/>
              <w:jc w:val="left"/>
              <w:rPr/>
            </w:pPr>
            <w:r>
              <w:rPr/>
              <w:t> </w:t>
            </w:r>
          </w:p>
        </w:tc>
        <w:tc>
          <w:tcPr>
            <w:tcW w:w="215" w:type="dxa"/>
            <w:tcBorders/>
          </w:tcPr>
          <w:p>
            <w:pPr>
              <w:pStyle w:val="TableContents"/>
              <w:bidi w:val="0"/>
              <w:spacing w:before="0" w:after="283"/>
              <w:jc w:val="left"/>
              <w:rPr/>
            </w:pPr>
            <w:r>
              <w:rPr/>
              <w:t>(c)</w:t>
            </w:r>
          </w:p>
        </w:tc>
        <w:tc>
          <w:tcPr>
            <w:tcW w:w="104" w:type="dxa"/>
            <w:tcBorders/>
            <w:vAlign w:val="bottom"/>
          </w:tcPr>
          <w:p>
            <w:pPr>
              <w:pStyle w:val="TableContents"/>
              <w:bidi w:val="0"/>
              <w:spacing w:before="0" w:after="283"/>
              <w:jc w:val="left"/>
              <w:rPr/>
            </w:pPr>
            <w:r>
              <w:rPr/>
              <w:t> </w:t>
            </w:r>
          </w:p>
        </w:tc>
        <w:tc>
          <w:tcPr>
            <w:tcW w:w="9467" w:type="dxa"/>
            <w:tcBorders/>
          </w:tcPr>
          <w:p>
            <w:pPr>
              <w:pStyle w:val="TableContents"/>
              <w:bidi w:val="0"/>
              <w:spacing w:before="0" w:after="283"/>
              <w:jc w:val="left"/>
              <w:rPr/>
            </w:pPr>
            <w:r>
              <w:rPr/>
              <w:t>The accountant’s statement or other exhibit required by Rule 12b-25(c) has been attached if applicable.</w:t>
            </w:r>
          </w:p>
        </w:tc>
      </w:tr>
    </w:tbl>
    <w:p>
      <w:pPr>
        <w:pStyle w:val="TextBody"/>
        <w:bidi w:val="0"/>
        <w:spacing w:before="360" w:after="0"/>
        <w:jc w:val="center"/>
        <w:rPr>
          <w:rFonts w:ascii="Times New Roman" w:hAnsi="Times New Roman"/>
          <w:b/>
          <w:sz w:val="20"/>
        </w:rPr>
      </w:pPr>
      <w:r>
        <w:rPr>
          <w:rFonts w:ascii="Times New Roman" w:hAnsi="Times New Roman"/>
          <w:b/>
          <w:sz w:val="20"/>
        </w:rPr>
        <w:t xml:space="preserve">PART III — NARRATIVE </w:t>
      </w:r>
    </w:p>
    <w:p>
      <w:pPr>
        <w:pStyle w:val="TextBody"/>
        <w:bidi w:val="0"/>
        <w:spacing w:before="240" w:after="0"/>
        <w:jc w:val="left"/>
        <w:rPr>
          <w:rFonts w:ascii="Times New Roman" w:hAnsi="Times New Roman"/>
          <w:sz w:val="20"/>
        </w:rPr>
      </w:pPr>
      <w:r>
        <w:rPr>
          <w:rFonts w:ascii="Times New Roman" w:hAnsi="Times New Roman"/>
          <w:sz w:val="20"/>
        </w:rPr>
        <w:t xml:space="preserve">State below in reasonable detail why Forms 10-K, 20-F, 11-K, 10-Q, 10-D, N-CEN, N-CSR, or the transition report or portion thereof, could not be filed within the prescribed time period. (Attach extra sheets if needed.) </w:t>
      </w:r>
    </w:p>
    <w:p>
      <w:pPr>
        <w:pStyle w:val="TextBody"/>
        <w:bidi w:val="0"/>
        <w:spacing w:before="240" w:after="0"/>
        <w:jc w:val="left"/>
        <w:rPr>
          <w:rFonts w:ascii="Times New Roman" w:hAnsi="Times New Roman"/>
          <w:sz w:val="20"/>
        </w:rPr>
      </w:pPr>
      <w:r>
        <w:rPr>
          <w:rFonts w:ascii="Times New Roman" w:hAnsi="Times New Roman"/>
          <w:sz w:val="20"/>
        </w:rPr>
        <w:t xml:space="preserve">Jaguar Health, Inc. (the “Registrant”) could not complete the filing of its Annual Report on Form 10-Q for the quarter ended June 30, 2026 (the “Form 10-Q”) due to a delay in obtaining and compiling information required to be included in the Form 10-Q including significant and material subsequent event transactions, which delay could not be eliminated by the Registrant without unreasonable effort and expense. In accordance with Rule 12b-25 of the Securities Exchange Act of 1934, as amended, the Registrant will file the Form 10-Q no later than the fifth calendar day following the prescribed due date. </w:t>
      </w:r>
    </w:p>
    <w:p>
      <w:pPr>
        <w:pStyle w:val="TextBody"/>
        <w:bidi w:val="0"/>
        <w:spacing w:before="360" w:after="0"/>
        <w:jc w:val="center"/>
        <w:rPr>
          <w:rFonts w:ascii="Times New Roman" w:hAnsi="Times New Roman"/>
          <w:b/>
          <w:sz w:val="20"/>
        </w:rPr>
      </w:pPr>
      <w:r>
        <w:rPr>
          <w:rFonts w:ascii="Times New Roman" w:hAnsi="Times New Roman"/>
          <w:b/>
          <w:sz w:val="20"/>
        </w:rPr>
        <w:t xml:space="preserve">PART IV — OTHER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5"/>
        <w:gridCol w:w="106"/>
        <w:gridCol w:w="290"/>
        <w:gridCol w:w="106"/>
        <w:gridCol w:w="3256"/>
        <w:gridCol w:w="106"/>
        <w:gridCol w:w="290"/>
        <w:gridCol w:w="106"/>
        <w:gridCol w:w="1138"/>
        <w:gridCol w:w="106"/>
        <w:gridCol w:w="290"/>
        <w:gridCol w:w="106"/>
        <w:gridCol w:w="4040"/>
      </w:tblGrid>
      <w:tr>
        <w:trPr/>
        <w:tc>
          <w:tcPr>
            <w:tcW w:w="26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040" w:type="dxa"/>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pPr>
            <w:r>
              <w:rPr/>
              <w:t>(1)</w:t>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438" w:type="dxa"/>
            <w:gridSpan w:val="9"/>
            <w:tcBorders/>
            <w:vAlign w:val="bottom"/>
          </w:tcPr>
          <w:p>
            <w:pPr>
              <w:pStyle w:val="TableContents"/>
              <w:bidi w:val="0"/>
              <w:spacing w:before="0" w:after="283"/>
              <w:jc w:val="left"/>
              <w:rPr/>
            </w:pPr>
            <w:r>
              <w:rPr/>
              <w:t>Name and telephone number of person to contact in regard to this notification</w:t>
            </w:r>
          </w:p>
        </w:tc>
      </w:tr>
      <w:tr>
        <w:trPr>
          <w:trHeight w:val="240" w:hRule="atLeast"/>
        </w:trPr>
        <w:tc>
          <w:tcPr>
            <w:tcW w:w="265" w:type="dxa"/>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3362"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1244"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4146" w:type="dxa"/>
            <w:gridSpan w:val="2"/>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3256" w:type="dxa"/>
            <w:tcBorders>
              <w:bottom w:val="single" w:sz="2" w:space="0" w:color="000000"/>
            </w:tcBorders>
            <w:tcMar>
              <w:bottom w:w="28" w:type="dxa"/>
            </w:tcMar>
            <w:vAlign w:val="bottom"/>
          </w:tcPr>
          <w:p>
            <w:pPr>
              <w:pStyle w:val="TableContents"/>
              <w:bidi w:val="0"/>
              <w:spacing w:before="0" w:after="283"/>
              <w:jc w:val="center"/>
              <w:rPr>
                <w:b/>
              </w:rPr>
            </w:pPr>
            <w:r>
              <w:rPr>
                <w:b/>
              </w:rPr>
              <w:t>Carol Lizak</w:t>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38" w:type="dxa"/>
            <w:tcBorders>
              <w:bottom w:val="single" w:sz="2" w:space="0" w:color="000000"/>
            </w:tcBorders>
            <w:tcMar>
              <w:bottom w:w="28" w:type="dxa"/>
            </w:tcMar>
            <w:vAlign w:val="bottom"/>
          </w:tcPr>
          <w:p>
            <w:pPr>
              <w:pStyle w:val="TableContents"/>
              <w:bidi w:val="0"/>
              <w:spacing w:before="0" w:after="283"/>
              <w:jc w:val="center"/>
              <w:rPr>
                <w:b/>
              </w:rPr>
            </w:pPr>
            <w:r>
              <w:rPr>
                <w:b/>
              </w:rPr>
              <w:t>415</w:t>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040" w:type="dxa"/>
            <w:tcBorders>
              <w:bottom w:val="single" w:sz="2" w:space="0" w:color="000000"/>
            </w:tcBorders>
            <w:tcMar>
              <w:bottom w:w="28" w:type="dxa"/>
            </w:tcMar>
            <w:vAlign w:val="bottom"/>
          </w:tcPr>
          <w:p>
            <w:pPr>
              <w:pStyle w:val="TableContents"/>
              <w:bidi w:val="0"/>
              <w:spacing w:before="0" w:after="283"/>
              <w:jc w:val="center"/>
              <w:rPr>
                <w:b/>
              </w:rPr>
            </w:pPr>
            <w:r>
              <w:rPr>
                <w:b/>
              </w:rPr>
              <w:t>896-2580</w:t>
            </w:r>
          </w:p>
        </w:tc>
      </w:tr>
      <w:tr>
        <w:trPr/>
        <w:tc>
          <w:tcPr>
            <w:tcW w:w="26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256" w:type="dxa"/>
            <w:tcBorders/>
            <w:vAlign w:val="bottom"/>
          </w:tcPr>
          <w:p>
            <w:pPr>
              <w:pStyle w:val="TableContents"/>
              <w:bidi w:val="0"/>
              <w:spacing w:before="0" w:after="283"/>
              <w:jc w:val="center"/>
              <w:rPr/>
            </w:pPr>
            <w:r>
              <w:rPr/>
              <w:t>(Name)</w:t>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center"/>
              <w:rPr/>
            </w:pPr>
            <w:r>
              <w:rPr/>
              <w:t>(Area Code)</w:t>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040" w:type="dxa"/>
            <w:tcBorders/>
            <w:vAlign w:val="bottom"/>
          </w:tcPr>
          <w:p>
            <w:pPr>
              <w:pStyle w:val="TableContents"/>
              <w:bidi w:val="0"/>
              <w:spacing w:before="0" w:after="283"/>
              <w:jc w:val="center"/>
              <w:rPr/>
            </w:pPr>
            <w:r>
              <w:rPr/>
              <w:t>(Telephone Number)</w:t>
            </w:r>
          </w:p>
        </w:tc>
      </w:tr>
      <w:tr>
        <w:trPr>
          <w:trHeight w:val="120" w:hRule="atLeast"/>
        </w:trPr>
        <w:tc>
          <w:tcPr>
            <w:tcW w:w="265" w:type="dxa"/>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9544" w:type="dxa"/>
            <w:gridSpan w:val="10"/>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pPr>
            <w:r>
              <w:rPr/>
              <w:t>(2)</w:t>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9438" w:type="dxa"/>
            <w:gridSpan w:val="9"/>
            <w:tcBorders/>
            <w:vAlign w:val="bottom"/>
          </w:tcPr>
          <w:p>
            <w:pPr>
              <w:pStyle w:val="TableContents"/>
              <w:bidi w:val="0"/>
              <w:spacing w:before="0" w:after="283"/>
              <w:jc w:val="left"/>
              <w:rPr/>
            </w:pPr>
            <w:r>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report(s). Yes ☒ No ☐</w:t>
            </w:r>
          </w:p>
        </w:tc>
      </w:tr>
      <w:tr>
        <w:trPr>
          <w:trHeight w:val="240" w:hRule="atLeast"/>
        </w:trPr>
        <w:tc>
          <w:tcPr>
            <w:tcW w:w="265" w:type="dxa"/>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9544" w:type="dxa"/>
            <w:gridSpan w:val="10"/>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9438" w:type="dxa"/>
            <w:gridSpan w:val="9"/>
            <w:tcBorders>
              <w:bottom w:val="single" w:sz="2" w:space="0" w:color="000000"/>
            </w:tcBorders>
            <w:tcMar>
              <w:bottom w:w="28" w:type="dxa"/>
            </w:tcMar>
            <w:vAlign w:val="bottom"/>
          </w:tcPr>
          <w:p>
            <w:pPr>
              <w:pStyle w:val="TableContents"/>
              <w:bidi w:val="0"/>
              <w:spacing w:before="0" w:after="283"/>
              <w:jc w:val="left"/>
              <w:rPr/>
            </w:pPr>
            <w:r>
              <w:rPr/>
              <w:t> </w:t>
            </w:r>
          </w:p>
        </w:tc>
      </w:tr>
      <w:tr>
        <w:trPr>
          <w:trHeight w:val="120" w:hRule="atLeast"/>
        </w:trPr>
        <w:tc>
          <w:tcPr>
            <w:tcW w:w="265" w:type="dxa"/>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9544" w:type="dxa"/>
            <w:gridSpan w:val="10"/>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pPr>
            <w:r>
              <w:rPr/>
              <w:t>(3)</w:t>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9438" w:type="dxa"/>
            <w:gridSpan w:val="9"/>
            <w:tcBorders/>
            <w:vAlign w:val="bottom"/>
          </w:tcPr>
          <w:p>
            <w:pPr>
              <w:pStyle w:val="TableContents"/>
              <w:bidi w:val="0"/>
              <w:spacing w:before="0" w:after="283"/>
              <w:jc w:val="left"/>
              <w:rPr/>
            </w:pPr>
            <w:r>
              <w:rPr/>
              <w:t>Is it anticipated that any significant change in results of operations from the corresponding period for the last fiscal year will be reflected by the earnings statements to be included in the subject report or portion thereof? Yes ☐ No ☒</w:t>
            </w:r>
          </w:p>
        </w:tc>
      </w:tr>
      <w:tr>
        <w:trPr>
          <w:trHeight w:val="120" w:hRule="atLeast"/>
        </w:trPr>
        <w:tc>
          <w:tcPr>
            <w:tcW w:w="265" w:type="dxa"/>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9544" w:type="dxa"/>
            <w:gridSpan w:val="10"/>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9438" w:type="dxa"/>
            <w:gridSpan w:val="9"/>
            <w:tcBorders/>
            <w:vAlign w:val="bottom"/>
          </w:tcPr>
          <w:p>
            <w:pPr>
              <w:pStyle w:val="TableContents"/>
              <w:bidi w:val="0"/>
              <w:spacing w:before="0" w:after="283"/>
              <w:jc w:val="left"/>
              <w:rPr/>
            </w:pPr>
            <w:r>
              <w:rPr/>
              <w:t>If so, attach an explanation of the anticipated change, both narratively and quantitatively, and, if appropriate, state the reasons why a reasonable estimate of the results cannot be made.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24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notification on Form 12b-25 contains certain “forward-looking statements” within the meaning of Section 27A of the Securities Act of 1933 and Section 21E of the Securities Exchange Act of 1934. These forward-looking statements can be identified by the fact that they do not relate strictly to historical or current facts and include words such as “anticipates,” “expects,” “believes,” “intends” or words of similar meaning or the negatives thereof. These forward-looking statements include, but are not necessarily limited to, statements about the Registrant’s results of operations to be reported in its quarterly report on Form 10-Q and the Registrant’s ability to file its quarterly report on Form 10-Q within the period prescribed under Rule 12b-25.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forward-looking statements contained herein are subject to risks and uncertainties, many of which are beyond our control, including the possibility that we may discover previously unknown issues relating to our financial statements or internal control over financial reporting and such issues may result in additional changes in the results of operation that we presently expect to report, possible further delays in finalizing our quarterly report on Form 10-Q, including delays that extend beyond the 5-day period during which late filings are permitted, as well as other risks and uncertainties described in the reports that we file with the Securities and Exchange Commission. Any such result may cause volatility in our stock price, a loss of confidence in our management team and other potential negative effects on the Registrant. If one of these risks or uncertainties occurs, actual results or outcomes may vary materially from those described in the forward-looking statements as expected, anticipated, believed, estimated, intended, planned or otherwise. Forward-looking statements speak only as of the date on which they are made. We undertake no obligation to update any forward-looking statements to reflect circumstances or events that occur after the date the forward-looking statements are made.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JAGUAR HEALTH, INC. </w:t>
      </w:r>
    </w:p>
    <w:p>
      <w:pPr>
        <w:pStyle w:val="TextBody"/>
        <w:bidi w:val="0"/>
        <w:spacing w:before="0" w:after="0"/>
        <w:jc w:val="center"/>
        <w:rPr>
          <w:rFonts w:ascii="Times New Roman" w:hAnsi="Times New Roman"/>
          <w:sz w:val="16"/>
        </w:rPr>
      </w:pPr>
      <w:r>
        <w:rPr>
          <w:rFonts w:ascii="Times New Roman" w:hAnsi="Times New Roman"/>
          <w:sz w:val="16"/>
        </w:rPr>
        <w:t xml:space="preserve">(Name of Registrant as Specified in Charter) </w:t>
      </w:r>
    </w:p>
    <w:p>
      <w:pPr>
        <w:pStyle w:val="TextBody"/>
        <w:bidi w:val="0"/>
        <w:spacing w:before="240" w:after="0"/>
        <w:jc w:val="left"/>
        <w:rPr>
          <w:rFonts w:ascii="Times New Roman" w:hAnsi="Times New Roman"/>
          <w:sz w:val="20"/>
        </w:rPr>
      </w:pPr>
      <w:r>
        <w:rPr>
          <w:rFonts w:ascii="Times New Roman" w:hAnsi="Times New Roman"/>
          <w:sz w:val="20"/>
        </w:rPr>
        <w:t xml:space="preserve">has caused this notification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
        <w:gridCol w:w="115"/>
        <w:gridCol w:w="4321"/>
        <w:gridCol w:w="115"/>
        <w:gridCol w:w="364"/>
        <w:gridCol w:w="115"/>
        <w:gridCol w:w="316"/>
        <w:gridCol w:w="115"/>
        <w:gridCol w:w="4265"/>
      </w:tblGrid>
      <w:tr>
        <w:trPr/>
        <w:tc>
          <w:tcPr>
            <w:tcW w:w="479"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4321"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4265" w:type="dxa"/>
            <w:tcBorders/>
            <w:vAlign w:val="center"/>
          </w:tcPr>
          <w:p>
            <w:pPr>
              <w:pStyle w:val="TableContents"/>
              <w:bidi w:val="0"/>
              <w:spacing w:before="0" w:after="283"/>
              <w:jc w:val="left"/>
              <w:rPr>
                <w:sz w:val="4"/>
                <w:szCs w:val="4"/>
              </w:rPr>
            </w:pPr>
            <w:r>
              <w:rPr>
                <w:sz w:val="4"/>
                <w:szCs w:val="4"/>
              </w:rPr>
            </w:r>
          </w:p>
        </w:tc>
      </w:tr>
      <w:tr>
        <w:trPr/>
        <w:tc>
          <w:tcPr>
            <w:tcW w:w="479" w:type="dxa"/>
            <w:tcBorders/>
            <w:vAlign w:val="bottom"/>
          </w:tcPr>
          <w:p>
            <w:pPr>
              <w:pStyle w:val="TableContents"/>
              <w:bidi w:val="0"/>
              <w:spacing w:before="0" w:after="283"/>
              <w:jc w:val="left"/>
              <w:rPr/>
            </w:pPr>
            <w:r>
              <w:rPr/>
              <w:t>Date</w:t>
            </w:r>
          </w:p>
        </w:tc>
        <w:tc>
          <w:tcPr>
            <w:tcW w:w="115" w:type="dxa"/>
            <w:tcBorders/>
            <w:vAlign w:val="bottom"/>
          </w:tcPr>
          <w:p>
            <w:pPr>
              <w:pStyle w:val="TableContents"/>
              <w:bidi w:val="0"/>
              <w:spacing w:before="0" w:after="283"/>
              <w:jc w:val="left"/>
              <w:rPr/>
            </w:pPr>
            <w:r>
              <w:rPr/>
              <w:t> </w:t>
            </w:r>
          </w:p>
        </w:tc>
        <w:tc>
          <w:tcPr>
            <w:tcW w:w="4321" w:type="dxa"/>
            <w:tcBorders/>
            <w:vAlign w:val="bottom"/>
          </w:tcPr>
          <w:p>
            <w:pPr>
              <w:pStyle w:val="TableContents"/>
              <w:bidi w:val="0"/>
              <w:spacing w:before="0" w:after="283"/>
              <w:jc w:val="left"/>
              <w:rPr>
                <w:b/>
              </w:rPr>
            </w:pPr>
            <w:r>
              <w:rPr>
                <w:b/>
              </w:rPr>
              <w:t>August 14, 2026</w:t>
            </w:r>
          </w:p>
        </w:tc>
        <w:tc>
          <w:tcPr>
            <w:tcW w:w="11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By</w:t>
            </w:r>
          </w:p>
        </w:tc>
        <w:tc>
          <w:tcPr>
            <w:tcW w:w="115" w:type="dxa"/>
            <w:tcBorders/>
            <w:vAlign w:val="bottom"/>
          </w:tcPr>
          <w:p>
            <w:pPr>
              <w:pStyle w:val="TableContents"/>
              <w:bidi w:val="0"/>
              <w:spacing w:before="0" w:after="283"/>
              <w:jc w:val="left"/>
              <w:rPr/>
            </w:pPr>
            <w:r>
              <w:rPr/>
              <w:t> </w:t>
            </w:r>
          </w:p>
        </w:tc>
        <w:tc>
          <w:tcPr>
            <w:tcW w:w="426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 xml:space="preserve">/s/ </w:t>
            </w:r>
            <w:r>
              <w:rPr>
                <w:rFonts w:ascii="Times New Roman" w:hAnsi="Times New Roman"/>
                <w:b/>
                <w:sz w:val="20"/>
              </w:rPr>
              <w:t>Carol Lizak</w:t>
            </w:r>
          </w:p>
        </w:tc>
      </w:tr>
      <w:tr>
        <w:trPr/>
        <w:tc>
          <w:tcPr>
            <w:tcW w:w="479"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432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364"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316"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42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Carol Lizak</w:t>
            </w:r>
          </w:p>
        </w:tc>
      </w:tr>
      <w:tr>
        <w:trPr/>
        <w:tc>
          <w:tcPr>
            <w:tcW w:w="479"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4321"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364"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316"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42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left w:val="single" w:sz="2" w:space="0" w:color="000000"/>
              <w:right w:val="single" w:sz="2" w:space="0" w:color="000000"/>
            </w:tcBorders>
            <w:tcMar>
              <w:top w:w="28" w:type="dxa"/>
              <w:left w:w="160" w:type="dxa"/>
              <w:right w:w="40" w:type="dxa"/>
            </w:tcMar>
          </w:tcPr>
          <w:p>
            <w:pPr>
              <w:pStyle w:val="TableContents"/>
              <w:bidi w:val="0"/>
              <w:spacing w:before="0" w:after="0"/>
              <w:jc w:val="center"/>
              <w:rPr>
                <w:rFonts w:ascii="Times New Roman" w:hAnsi="Times New Roman"/>
                <w:b/>
                <w:sz w:val="20"/>
              </w:rPr>
            </w:pPr>
            <w:r>
              <w:rPr>
                <w:rFonts w:ascii="Times New Roman" w:hAnsi="Times New Roman"/>
                <w:b/>
                <w:sz w:val="20"/>
              </w:rPr>
              <w:t>ATTENTION</w:t>
            </w:r>
          </w:p>
          <w:p>
            <w:pPr>
              <w:pStyle w:val="TableContents"/>
              <w:bidi w:val="0"/>
              <w:spacing w:before="0" w:after="20"/>
              <w:jc w:val="left"/>
              <w:rPr/>
            </w:pPr>
            <w:r>
              <w:rPr/>
              <w:t> </w:t>
            </w:r>
          </w:p>
        </w:tc>
      </w:tr>
      <w:tr>
        <w:trPr/>
        <w:tc>
          <w:tcPr>
            <w:tcW w:w="10205" w:type="dxa"/>
            <w:tcBorders>
              <w:left w:val="single" w:sz="2" w:space="0" w:color="000000"/>
              <w:bottom w:val="single" w:sz="2" w:space="0" w:color="000000"/>
              <w:right w:val="single" w:sz="2" w:space="0" w:color="000000"/>
            </w:tcBorders>
            <w:tcMar>
              <w:left w:w="160" w:type="dxa"/>
              <w:bottom w:w="28" w:type="dxa"/>
              <w:right w:w="40" w:type="dxa"/>
            </w:tcMar>
          </w:tcPr>
          <w:p>
            <w:pPr>
              <w:pStyle w:val="TableContents"/>
              <w:bidi w:val="0"/>
              <w:spacing w:before="0" w:after="0"/>
              <w:jc w:val="center"/>
              <w:rPr>
                <w:rFonts w:ascii="Times New Roman" w:hAnsi="Times New Roman"/>
                <w:b/>
                <w:sz w:val="20"/>
              </w:rPr>
            </w:pPr>
            <w:r>
              <w:rPr>
                <w:rFonts w:ascii="Times New Roman" w:hAnsi="Times New Roman"/>
                <w:b/>
                <w:sz w:val="20"/>
              </w:rPr>
              <w:t>Intentional misstatements or omissions of fact constitute Federal Criminal Violations (See 18 U.S.C. 1001).</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1063</Words>
  <Characters>5637</Characters>
  <CharactersWithSpaces>6753</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NT 10-Q</dc:title>
</cp:coreProperties>
</file>