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69519ds3.htm"/>
        <w:bookmarkStart w:id="1" w:name="ksd169519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October 22, 2026 </w:t>
      </w:r>
    </w:p>
    <w:p>
      <w:pPr>
        <w:pStyle w:val="TextBody"/>
        <w:bidi w:val="0"/>
        <w:spacing w:before="0" w:after="0"/>
        <w:jc w:val="right"/>
        <w:rPr>
          <w:rFonts w:ascii="Times New Roman" w:hAnsi="Times New Roman"/>
          <w:b/>
          <w:sz w:val="18"/>
        </w:rPr>
      </w:pPr>
      <w:r>
        <w:rPr>
          <w:rFonts w:ascii="Times New Roman" w:hAnsi="Times New Roman"/>
          <w:b/>
          <w:sz w:val="18"/>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S-3</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46-2956775</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200 Pine Street, 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California 94104 </w:t>
      </w:r>
    </w:p>
    <w:p>
      <w:pPr>
        <w:pStyle w:val="TextBody"/>
        <w:bidi w:val="0"/>
        <w:spacing w:before="0" w:after="0"/>
        <w:jc w:val="center"/>
        <w:rPr>
          <w:rFonts w:ascii="Times New Roman" w:hAnsi="Times New Roman"/>
          <w:b/>
          <w:sz w:val="18"/>
        </w:rPr>
      </w:pPr>
      <w:r>
        <w:rPr>
          <w:rFonts w:ascii="Times New Roman" w:hAnsi="Times New Roman"/>
          <w:b/>
          <w:sz w:val="18"/>
        </w:rPr>
        <w:t>(415) 371-8300</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Lisa A. Conte </w:t>
      </w:r>
    </w:p>
    <w:p>
      <w:pPr>
        <w:pStyle w:val="TextBody"/>
        <w:bidi w:val="0"/>
        <w:spacing w:before="0" w:after="0"/>
        <w:jc w:val="center"/>
        <w:rPr>
          <w:rFonts w:ascii="Times New Roman" w:hAnsi="Times New Roman"/>
          <w:b/>
          <w:sz w:val="18"/>
        </w:rPr>
      </w:pPr>
      <w:r>
        <w:rPr>
          <w:rFonts w:ascii="Times New Roman" w:hAnsi="Times New Roman"/>
          <w:b/>
          <w:sz w:val="18"/>
        </w:rPr>
        <w:t xml:space="preserve">Chief Executive Officer and President </w:t>
      </w:r>
    </w:p>
    <w:p>
      <w:pPr>
        <w:pStyle w:val="TextBody"/>
        <w:bidi w:val="0"/>
        <w:spacing w:before="0" w:after="0"/>
        <w:jc w:val="center"/>
        <w:rPr>
          <w:rFonts w:ascii="Times New Roman" w:hAnsi="Times New Roman"/>
          <w:b/>
          <w:sz w:val="18"/>
        </w:rPr>
      </w:pPr>
      <w:r>
        <w:rPr>
          <w:rFonts w:ascii="Times New Roman" w:hAnsi="Times New Roman"/>
          <w:b/>
          <w:sz w:val="18"/>
        </w:rPr>
        <w:t xml:space="preserve">Jaguar Health, Inc. </w:t>
      </w:r>
    </w:p>
    <w:p>
      <w:pPr>
        <w:pStyle w:val="TextBody"/>
        <w:bidi w:val="0"/>
        <w:spacing w:before="0" w:after="0"/>
        <w:jc w:val="center"/>
        <w:rPr>
          <w:rFonts w:ascii="Times New Roman" w:hAnsi="Times New Roman"/>
          <w:b/>
          <w:sz w:val="18"/>
        </w:rPr>
      </w:pPr>
      <w:r>
        <w:rPr>
          <w:rFonts w:ascii="Times New Roman" w:hAnsi="Times New Roman"/>
          <w:b/>
          <w:sz w:val="18"/>
        </w:rPr>
        <w:t xml:space="preserve">200 Pine Street, Suite 400 </w:t>
      </w:r>
    </w:p>
    <w:p>
      <w:pPr>
        <w:pStyle w:val="TextBody"/>
        <w:bidi w:val="0"/>
        <w:spacing w:before="0" w:after="0"/>
        <w:jc w:val="center"/>
        <w:rPr>
          <w:rFonts w:ascii="Times New Roman" w:hAnsi="Times New Roman"/>
          <w:b/>
          <w:sz w:val="18"/>
        </w:rPr>
      </w:pPr>
      <w:r>
        <w:rPr>
          <w:rFonts w:ascii="Times New Roman" w:hAnsi="Times New Roman"/>
          <w:b/>
          <w:sz w:val="18"/>
        </w:rPr>
        <w:t xml:space="preserve">San Francisco, California 94104 </w:t>
      </w:r>
    </w:p>
    <w:p>
      <w:pPr>
        <w:pStyle w:val="TextBody"/>
        <w:bidi w:val="0"/>
        <w:spacing w:before="0" w:after="0"/>
        <w:jc w:val="center"/>
        <w:rPr>
          <w:rFonts w:ascii="Times New Roman" w:hAnsi="Times New Roman"/>
          <w:b/>
          <w:sz w:val="18"/>
        </w:rPr>
      </w:pPr>
      <w:r>
        <w:rPr>
          <w:rFonts w:ascii="Times New Roman" w:hAnsi="Times New Roman"/>
          <w:b/>
          <w:sz w:val="18"/>
        </w:rPr>
        <w:t>(415) 371-8300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of all communications, including communications sent to the agent for service, to: </w:t>
      </w:r>
    </w:p>
    <w:p>
      <w:pPr>
        <w:pStyle w:val="TextBody"/>
        <w:bidi w:val="0"/>
        <w:spacing w:before="120" w:after="0"/>
        <w:jc w:val="center"/>
        <w:rPr>
          <w:rFonts w:ascii="Times New Roman" w:hAnsi="Times New Roman"/>
          <w:b/>
          <w:sz w:val="18"/>
        </w:rPr>
      </w:pPr>
      <w:r>
        <w:rPr>
          <w:rFonts w:ascii="Times New Roman" w:hAnsi="Times New Roman"/>
          <w:b/>
          <w:sz w:val="18"/>
        </w:rPr>
        <w:t xml:space="preserve">Michael S. Lee, Esq. </w:t>
      </w:r>
    </w:p>
    <w:p>
      <w:pPr>
        <w:pStyle w:val="TextBody"/>
        <w:bidi w:val="0"/>
        <w:spacing w:before="0" w:after="0"/>
        <w:jc w:val="center"/>
        <w:rPr>
          <w:rFonts w:ascii="Times New Roman" w:hAnsi="Times New Roman"/>
          <w:b/>
          <w:sz w:val="18"/>
        </w:rPr>
      </w:pPr>
      <w:r>
        <w:rPr>
          <w:rFonts w:ascii="Times New Roman" w:hAnsi="Times New Roman"/>
          <w:b/>
          <w:sz w:val="18"/>
        </w:rPr>
        <w:t xml:space="preserve">Donald C. Reinke, Esq. </w:t>
      </w:r>
    </w:p>
    <w:p>
      <w:pPr>
        <w:pStyle w:val="TextBody"/>
        <w:bidi w:val="0"/>
        <w:spacing w:before="0" w:after="0"/>
        <w:jc w:val="center"/>
        <w:rPr>
          <w:rFonts w:ascii="Times New Roman" w:hAnsi="Times New Roman"/>
          <w:b/>
          <w:sz w:val="18"/>
        </w:rPr>
      </w:pPr>
      <w:r>
        <w:rPr>
          <w:rFonts w:ascii="Times New Roman" w:hAnsi="Times New Roman"/>
          <w:b/>
          <w:sz w:val="18"/>
        </w:rPr>
        <w:t xml:space="preserve">Reed Smith LLP </w:t>
      </w:r>
    </w:p>
    <w:p>
      <w:pPr>
        <w:pStyle w:val="TextBody"/>
        <w:bidi w:val="0"/>
        <w:spacing w:before="0" w:after="0"/>
        <w:jc w:val="center"/>
        <w:rPr>
          <w:rFonts w:ascii="Times New Roman" w:hAnsi="Times New Roman"/>
          <w:b/>
          <w:sz w:val="18"/>
        </w:rPr>
      </w:pPr>
      <w:r>
        <w:rPr>
          <w:rFonts w:ascii="Times New Roman" w:hAnsi="Times New Roman"/>
          <w:b/>
          <w:sz w:val="18"/>
        </w:rPr>
        <w:t xml:space="preserve">1841 Page Mill Road, Suite 110 </w:t>
      </w:r>
    </w:p>
    <w:p>
      <w:pPr>
        <w:pStyle w:val="TextBody"/>
        <w:bidi w:val="0"/>
        <w:spacing w:before="0" w:after="0"/>
        <w:jc w:val="center"/>
        <w:rPr>
          <w:rFonts w:ascii="Times New Roman" w:hAnsi="Times New Roman"/>
          <w:b/>
          <w:sz w:val="18"/>
        </w:rPr>
      </w:pPr>
      <w:r>
        <w:rPr>
          <w:rFonts w:ascii="Times New Roman" w:hAnsi="Times New Roman"/>
          <w:b/>
          <w:sz w:val="18"/>
        </w:rPr>
        <w:t xml:space="preserve">Palo Alto, CA 94304 </w:t>
      </w:r>
    </w:p>
    <w:p>
      <w:pPr>
        <w:pStyle w:val="TextBody"/>
        <w:bidi w:val="0"/>
        <w:spacing w:before="0" w:after="0"/>
        <w:jc w:val="center"/>
        <w:rPr>
          <w:rFonts w:ascii="Times New Roman" w:hAnsi="Times New Roman"/>
          <w:b/>
          <w:sz w:val="18"/>
        </w:rPr>
      </w:pPr>
      <w:r>
        <w:rPr>
          <w:rFonts w:ascii="Times New Roman" w:hAnsi="Times New Roman"/>
          <w:b/>
          <w:sz w:val="18"/>
        </w:rPr>
        <w:t>(650) 352-0500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12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Jaguar Health, Inc. (the “Company” or “Jaguar”) is registering under this registration statement on Form S-3 (the “Registration Statement”) an aggregate of $75,000,000 of securities, including, in accordance with Rule 415(a)(6) under the Securities Act of 1933, as amended (the “Securities Act”), $41,559,118.01 in aggregate maximum offering price of unsold securities (the “Unsold Securities”) previously registered under the base prospectus which forms a part of the Company’s registration statement on Form S-3 (File No. 333-278861), which was filed with the Securities and Exchange Commission (the “SEC”) on April 22, 2024 and declared effective by the SEC on May 1, 2024 (as amended and supplemented, the “Prior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Jaguar paid a filing fee of $6,134.13 relating to the Unsold Securities under the Prior Registration Statement (as calculated at the filing fee rate in effect at the time of the filing of the Prior Registration Statement). Jaguar may continue to offer and sell under the Prior Registration Statement the Unsold Securities being registered hereunder until the earlier of (i) the effective date of this Registration Statement or (ii) 180 days after May 21, 2027. To the extent that, after the filing date hereof and prior to the effectiveness of this Registration Statement, Jaguar sells any Unsold Securities under the Prior Registration Statement, Jaguar will identify in a pre-effective amendment to this Registration Statement the updated number of Unsold Securities and the updated amount of new securities to be registered hereunder.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415(a)(6) under the Securities Act: (i) the Unsold Securities registered under the Prior Registration Statement are included in this Registration Statement; (ii) the filing fee previously paid in connection with the registration of the Unsold Securities under the Prior Registration Statement will be applied to the registration of the Unsold Securities under this Registration Statement; and (iii) the offering of securities registered under the Prior Registration Statement will be deemed terminated as of the date of effectiveness of this Registration Statement.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SUBJECT TO COMPLETION DATED OCTOBER 22, 2026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650615"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0615" cy="96202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JAGUAR HEALTH, INC.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$75,000,000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Units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common stock, preferred stock, warrants and subscription rights that Jaguar Health, Inc. (the “Company,” “we,” “our” or “us”) may sell from time to time in one or more offerings up to a total public offering price of $75,000,000 on terms to be determined at the time of sale, which securities may be sold either individually or in units consisting of two or more of the foregoing classes of securities.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Each time we sell securities hereunder, we will provide specific terms of these securities in supplements to this prospectus. You should read this prospectus and any supplement carefully before you invest. This prospectus may not be used to offer and sell securities unless accompanied by a prospectus supplement for those securities.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These securities may be offered and sold in the same offering or in separate offerings, directly to purchasers, through dealers or agents designated from time to time, to or through underwriters or through a combination of these methods. See “</w:t>
      </w:r>
      <w:r>
        <w:rPr>
          <w:rFonts w:ascii="Times New Roman" w:hAnsi="Times New Roman"/>
          <w:i/>
          <w:sz w:val="20"/>
        </w:rPr>
        <w:t>Plan of Distribution</w:t>
      </w:r>
      <w:r>
        <w:rPr>
          <w:rFonts w:ascii="Times New Roman" w:hAnsi="Times New Roman"/>
          <w:sz w:val="20"/>
        </w:rPr>
        <w:t xml:space="preserve">”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sale of securities offered by us will also be included in a prospectus supplement.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registration statement on Form S-3 (File No. 333-278861), which was filed with the Securities and Exchange Commission (the “SEC”) on April 22, 2024 and declared effective by the SEC on May 1, 2024 (as amended and supplemented, the “Prior Registration Statement”) indicated that we were, at the time of filing the Prior Registration Statement, subject to General Instruction I.B.6 of Form S-3, which limited the amount that we were able to sell under the registration statement of which the prospectus supplement forms a part. We are no longer subject to the offering limitations imposed by General Instruction I.B.6. of Form S-3 as of the date of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voting common stock is listed on The Nasdaq Capital Market, under the symbol “JAGX.” On October 21, 2026, the last reported sale price of our voting common stock on The Nasdaq Capital Market was $2.28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You should read this prospectus, together with additional information described under the headings “</w:t>
      </w:r>
      <w:r>
        <w:rPr>
          <w:rFonts w:ascii="Times New Roman" w:hAnsi="Times New Roman"/>
          <w:i/>
          <w:sz w:val="20"/>
        </w:rPr>
        <w:t>Incorporation of Certain Information by Reference</w:t>
      </w:r>
      <w:r>
        <w:rPr>
          <w:rFonts w:ascii="Times New Roman" w:hAnsi="Times New Roman"/>
          <w:sz w:val="20"/>
        </w:rPr>
        <w:t>” and “</w:t>
      </w:r>
      <w:r>
        <w:rPr>
          <w:rFonts w:ascii="Times New Roman" w:hAnsi="Times New Roman"/>
          <w:i/>
          <w:sz w:val="20"/>
        </w:rPr>
        <w:t>Where You Can Find More Information</w:t>
      </w:r>
      <w:r>
        <w:rPr>
          <w:rFonts w:ascii="Times New Roman" w:hAnsi="Times New Roman"/>
          <w:sz w:val="20"/>
        </w:rPr>
        <w:t xml:space="preserve">,” carefully before you invest in any of our securities.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An investment in our securities involves a high degree of risk. Before deciding whether to invest in our securities, you should consider carefully the risks and uncertainties that we have described on page 10 of this prospectus under the caption “</w:t>
      </w:r>
      <w:hyperlink w:anchor="toc169519_4">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and in the documents incorporated by reference into this prospectus.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69519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7">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8">
              <w:r>
                <w:rPr>
                  <w:rStyle w:val="InternetLink"/>
                  <w:rFonts w:ascii="Times New Roman" w:hAnsi="Times New Roman"/>
                  <w:sz w:val="20"/>
                </w:rPr>
                <w:t>DESCRIPTION OF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9">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1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69519_14">
              <w:r>
                <w:rPr>
                  <w:rStyle w:val="InternetLink"/>
                  <w:rFonts w:ascii="Times New Roman" w:hAnsi="Times New Roman"/>
                  <w:sz w:val="20"/>
                </w:rPr>
                <w:t>INCORPORATION OF CERTAIN INFORMATION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6951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Securities and Exchange Commission (the “SEC”) using a “shelf” registration process. Under this shelf process, we may sell any combination of the securities described in this prospectus in one or more offerings up to a total public offering price of $75,000,000.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a prospectus supplement that will contain specific information about the securities being offered and the terms of that offering. The prospectus supplement may also add to,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securities other than the securities covered hereby, nor does this prospectus constitute an offer to sell or the solicitation of an offer to buy any securities in any jurisdiction to any person to whom it is unlawful to make such offer or solicitation in such jurisdiction. Persons who come into possession of this prospectus in jurisdictions outside the United States are required to inform themselves about, and to observe, any restrictions as to the offering and the distribution of this prospectus applicable to those jurisdictions.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securities are sold or otherwise disposed of on a later date. It is important for you to read and consider all information contained in this prospectus and any prospectus supplement in making your investment decision. You should also read and consider the information in the documents to which we have referred you under the captions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Information by Reference</w:t>
      </w:r>
      <w:r>
        <w:rPr>
          <w:rFonts w:ascii="Times New Roman" w:hAnsi="Times New Roman"/>
          <w:sz w:val="20"/>
        </w:rPr>
        <w:t xml:space="preserv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prospectus to “Jaguar,” the “Company,” “we,” “us,” and “our” refer to Jaguar Health,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69519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the documents that we incorporate by reference and any free writing prospectuses that we may authorize for use in connection with this offering contain forward-looking statements within the meaning of Section 27A of the Securities Act of 1933, as amended, (the “Securities Act”), and Section 21E of the Securities Exchange Act of 1934, as amended, (the “Exchange Act”). All statements other than statements of historical fact are statements that could be forward-looking statements. These forward-looking statements can generally be identified as such because the context of the statement will include words such as “may,” “will,” “intend,” “plan,” “believe,” “anticipate,” “expect,” “estimate,” “predict,” “potential,” “continue,” “likely,” or “opportunity,” the negative of these words or words of similar import. Similarly, statements that describe our future plans, strategies, intentions, expectations, objectives, goals or prospects are also forward-looking statements. Discussions containing these forward-looking statements may be found, among other places, in the “Business” and “Management’s Discussion and Analysis of Financial Condition and Results of Operations” sections incorporated by reference from our most recent Annual Report on Form 10-K and our Quarterly Reports on Form 10-Q for the quarterly periods ended subsequent to our filing of such Annual Report on Form 10-K, as well as any amendments thereto reflected in subsequent filings with the SEC.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 risks and uncertainties include, among others, those noted in the section entitled “</w:t>
      </w:r>
      <w:r>
        <w:rPr>
          <w:rFonts w:ascii="Times New Roman" w:hAnsi="Times New Roman"/>
          <w:i/>
          <w:sz w:val="20"/>
        </w:rPr>
        <w:t>Risk Factors</w:t>
      </w:r>
      <w:r>
        <w:rPr>
          <w:rFonts w:ascii="Times New Roman" w:hAnsi="Times New Roman"/>
          <w:sz w:val="20"/>
        </w:rPr>
        <w:t xml:space="preserve">” beginning on page 10 and in any applicable prospectus supplement or free writing prospectus, and those included in the documents that we incorporate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In addition, past financial and/or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publicly revise our forward-looking statements to reflect events or circumstances that arise after the filing of this prospectus or any applicable prospectus supplement or free writing prospectus, or documents incorporated by reference herein and therein, that include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6951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10, our consolidated financial statements and the related notes and the other information incorporated by reference into this prospectus before making an investment decision.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prospectus and the information incorporated by reference herein contain references to trademarks, service marks and trade names owned by us or other companies. Solely for convenience, trademarks, service marks and trade names referred to in this prospectus and the information incorporated by reference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prospectus and the documents incorporated by reference herein are the property of their respective owners.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in conjunction with Jaguar family company Napo Pharmaceuticals, Inc. (“Napo”), develops novel proprietary prescription drugs sustainably derived from plants for people with complicated gastrointestinal (“GI”) disease states. Jaguar family companies Napo and Napo Therapeutics, S.p.A., an Italian corporation Jaguar established in Milan, Italy in 2021, are focused on expanding global crofelemer access and are developing new therapies for orphan and rare GI conditions. Jaguar Animal Health is a Jaguar tradename. Magdalena Biosciences, a joint venture formed by Jaguar and Filament Health Corp., is focused on developing novel prescription medicines derived from plants for weight gain prevention and mental health indications. Jaguar Animal Health is a tradename the Company uses in the animal health space. In the animal health field, the Company focuses on developing and commercializing non-prescription GI products for companion and production animals.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Jaguar was founded in San Francisco, California, as a Delaware corporation on June 6, 2013 (“inception”). The Company was a majority-owned subsidiary of Napo until the close of the Company’s initial public offering on May 18, 2015. The Company was formed to develop and commercialize first-in-class prescription and non-prescription products for companion animals. 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the wholly owned subsidiary (the “Merger” or “Napo Merger”). Immediately following the Merger, Jaguar changed its name from “Jaguar Animal Health, Inc.” to “Jaguar Health, Inc.” Napo now operates as a wholly owned subsidiary of Jaguar focused on human health, including the ongoing development of crofelemer and commercialization of Mytesi.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Napo’s crofelemer 125 mg delayed-release tablets (Mytesi) is an FDA-approved prescription drug for the symptomatic relief of noninfectious diarrhea in adults with HIV/AIDS on antiretroviral therapy. In January 2026, following Napo’s entry into a US licensing agreement with an affiliate of privately held Future Pak, LLC (“Future Pak”), Future Pak became the exclusive marketer for Mytesi as well as the tablet formulation for animal health, Canalevia-CA1, which is Jaguar’s crofelemer prescription drug for the treatment of chemotherapy-induced diarrhea in dogs. Jaguar was provided with $16.0 million of non-dilutive capital in January 2026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closing of the agreement with Future Pak, with an additional $2.0 million due to Jaguar upon completion of post-closing conditions. Per the terms of the agreement, Jaguar also has the opportunity to receive up to $20 million in milestone payments and other future payments. Jaguar will continue to manufacture crofelemer for Mytesi and Canalevia-CA1 for Future Pak. Mytesi and Canalevia-CA1 are both delayed-release tablet formulations of crofelemer.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2025, Napo conducted a Type C Meeting with the Division of Gastroenterology at the FDA to discuss the responder analysis results of crofelemer in the cohort of breast cancer patients receiving targeted therapies with or without cytotoxic chemotherapy for prophylaxis of diarrhea from the company’s pivotal OnTarget Phase 3 clinical trial. OnTarget was a 24-week (two 12-week stages), randomized, multicenter, placebo-controlled, double-blind global study to evaluate the safety and efficacy of crofelemer in diarrhea prophylaxis in adult solid tumor patients receiving targeted therapies with or without standard chemotherapy. As previously announced, the top line results from the OnTarget study showed that the trial did not meet its primary endpoint for the prespecified analysis of all tumor types and all targeted therapies. As previously announced, in the prespecified subgroup of patients with breast cancer, crofelemer showed statistically significant improvement in the monthly responder analysis. Breast cancer patients represent one of the largest group of adult patients with solid tumors with patients often remaining on targeted therapy over prolonged periods in both adjuvant and metastatic settings.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results in the cohort of patients with breast cancer are based on responder analysis, as was also the primary endpoint in the pivotal Phase 3 ADVENT trial that led to FDA approval of crofelemer for its currently commercialized indication, under the brand name Mytesi, for the symptomatic relief of noninfectious diarrhea in adults with HIV/AIDS on antiretroviral therapy. Patients with breast cancer accounted for 183 of the 287 participants in the OnTarget clinical trial, and the results of responder analysis for patients with breast cancer were the subject of a poster presentation at the Multinational Association of Supportive Care in Cancer (MASCC) in Seattle in June 2025. A greater proportion of patients with breast cancer randomized to the crofelemer arm were monthly responders for the entire 3-month period of the OnTarget study. This research underscores the potential of crofelemer for prophylaxis of cancer therapy-related diarrhea (CTD) in adult patients with breast cancer receiving targeted therapies with or without chemotherapy.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announced, it has been reported that patients with cancer-related diarrhea (“CRD”) were 40% more likely to discontinue chemotherapy or targeted therapy than patients without CRD. The persistence of index cancer therapy and the time to switch were also lower for patients with CRD. Strategies to control CRD and continue cancer therapy are urgently needed. Furthermore, it has been reported that patients with CRD used significantly more resources, including outpatient services, emergency room visits, and hospitalizations. Effective prevention of CRD provides an untapped market opportunity to reduce the overall cost of cancer care. Findings from studies have indicated that patients with CRD had nearly 2.9 times higher all-cause total cost of care than patients without CRD after adjusting for covariates. Thus, prophylaxis of CRD is expected to result in a significant reduction in cancer treatment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Napo’s Type C Meeting in May 2025 with the Division of Gastroenterology of the FDA, Napo proposed two concurrent potential approaches for potentially making crofelemer available to metastatic breast cancer patients with the significant unmet medical need of CTD: 1) proposed conduct of a pivotal treatment trial to facilitate approval of crofelemer for CTD in patients with metastatic breast cancer; and 2) the conduct of an expanded access program for treatment of breast cancer patients with CTD who may not be eligible for the planned phase 3 treatment trial, by including breast cancer patients in the adjuvant and neoadjuvant settings. The FDA formally acknowledged both of these key discussion points in correspondence to Napo.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developing a novel, highly concentrated lyophilized crofelemer powder for oral solution for its prioritized focus on intestinal failure (IF) for the treatment of the ultrarare pediatric disorder, microvillus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inclusion disease (MVID), and short bowel syndrome with intestinal failure (SBS-IF). Crofelemer oral powder for solution formulation is a paradigm-shifting and first-in-class drug for the development of novel therapies for these serious unmet medical conditions. This lyophilized oral powder for solution is in advanced clinical development with near-term New Drug Application (NDA) opportunity for MVID and rapid time to market for this potentially breakthrough drug. The lyophilized crofelemer powder for solution has a unique IP position with a long period of exclusivity due to the botanical origin of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Intestinal failure (IF) is a debilitating condition that often requires patients to receive life-sustaining fluids, electrolytes and nutrients through intravenous administration, which consists of total parenteral nutrition (TPN) with supplemental intravenous fluids, which together constitute parenteral support (PS). Many intestinal failure patients require PS up to 7 days a week, and sometimes for 20 hours or more per day. While crucial for IF patients, PS is associated with significant toxicities to patients, similar to some toxicities associated with chemotherapy, often causing serious health problems including infections, metabolic complications, and liver and kidney function problems. These symptoms may emerge at any time in intestinal failure patients and often become life-threatening.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MVID is an ultrarare, fatal pediatric disorder with around 200 patients in the US and EU combined. There are currently no approved therapies and only lifelong PS, making it one of the most serious unmet medical needs in pediatric patients due to the lethal natural history of the disease. Crofelemer’s unique physiological mechanism of modulating intestinal chloride ion secretion results in normalizing electrolyte and fluid balance in the gastrointestinal (GI) tract which reduces the need for electrolyte and fluid requirements through PS. Since MVID patients lack a brush border membrane, this physiological MOA addresses the pathophysiology of MVID, and represents a paradigm- shifting therapy for reduction of PS, which would potentially reduce TPN- and MVID-related comorbidities and improve clinical outcomes.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SBS-IF affects an estimated 12,000 patients in the US. SBS-IF patients without colon-in-continuity have poor prognosis with significant comorbidities associated with life-sustaining PS and disease pathology. Despite availability of GLP-2 therapies, which require intestinal adaptation of 2-3 years following abdominal surgery in a subset of SBS-IF patients, PS remains the life-sustaining standard of care for these patients. Novel crofelemer powder for oral solution is a first-in-class paradigm-shifting therapy which does not require intestinal adaptation and can be initiated within 6-12 months after surgery upon stabilization of PS. Since it is not a growth hormone, it can be used in SBS-IF patients who have had abdominal surgery due to cancer, mesenteric etiologies, and inflammatory bowel conditions such as Crohn’s disease and colitis. Furthermore, crofelemer, due to its unique physiological MOA of modulating intestinal chloride ion secretion for maintaining electrolyte and fluid balance, can be used in combination with GLP-2 analogs as well as in patients who are either intolerant or for whom GLP-2 is contraindicated.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SBS affects approximately 10,000 to 20,000 people in the US, according to the Crohn’s &amp; Colitis Foundation, and it is estimated that the population of SBS patients in Europe is approximately the same size, and the US population of SBS-IF patients was estimated at 12,000 patients in 2021 in a well-done epidemiology study. Despite limited treatment options, the global market for SBS was valued at approximately $1.64 billion in 2024 and is projected to reach approximately $8.0 billion by 2033, according to a report by DataM Intelligence. MVID is an ultrarare pediatric disease, with an estimated prevalence of a couple of hundred patients globally. Jaguar estimates that the global market size for MVID therapies is in the range of $50 million to $100 million, based on market research with key opinion leaders (KOLs) and payers.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Crofelemer was granted Orphan Drug Designation (“ODD”) by the FDA in February 2023 for MVID, an ultra-rare congenital diarrheal disorder (“CDD”), and granted ODD for MVID by the European Medicines Agency (“EMA”) in October 2022. Crofelemer was granted ODD for short bowel syndrome (“SBS”) by the EMA in December 2021 and by the FDA in August 2017. In August 2023, the FDA activated Napo’s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Investigational New Drug (“IND”) application for a new crofelemer powder for oral solution formulation for the treatment of MVID.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Orphan Drug Act (“ODA”) in the US grants special status to a small molecule drug or biological product to treat a rare disease or condition upon request of a sponsor. This status is referred to as ODD (or sometimes “orphan status”). ODD qualifies the drug’s sponsor for various development incentives, including tax credits for qualified clinical testing and relief of filing fees. Additionally, the ODA provides a seven-year period of marketing exclusivity to the first sponsor who obtains marketing approval for a designated orphan drug. In the EU, receipt of ODD supports some specific regulatory pathways, and sponsors who obtain ODD for their drug can benefit from Scientific Advice from the EMA for clinical trials for the orphan indication and receive market exclusivity for a period of ten years once the medicine is approved for commercialization.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currently supporting multiple proof-of-concept (POC) investigator-initiated trials (IIT), and also conducting two pivotal clinical trials, of crofelemer powder for oral solution for MVID and SBS-IF in the US, European Union (EU), and/or Middle East. The Company’s trial to evaluate the safety and efficacy of crofelemer powder for oral solution in pediatric MVID patients is ongoing at multiple sites. Napo Therapeutics is conducting a Phase 2 study in adult SBS-IF patients at multiple clinical sites in Italy and Germany. An open label IIT is ongoing in pediatric IF patients with MVID and/or SBS in Abu Dhabi in the United Arab Emirates. Groundbreaking results from pediatric IF patients with MVID and SBS-IF were presented at North American Society for Pediatric Gastroenterology, Hepatology and Nutrition (NASPGHAN 2025) in Chicago. The study showed that the liquid formulation of crofelemer powder resulted in a reduction of parenteral support (PS) of up to 37% in a pediatric MVID patient who has remained on crofelemer therapy for &gt;1 year. PS reductions of up to 15.6% were observed in two pediatric SBS-IF patients who have also remained on crofelemer oral liquid treatment for &gt;1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June 2026, longer-term data from the ongoing investigator-initiated trial of crofelemer in pediatric IF patients in the United Arab Emirates will be presented at the 58th Annual Meeting of the European Society for Pediatric Gastroenterology, Hepatology &amp; Nutrition (ESPGHAN). An additional MVID infant patient is being treated with oral crofelemer, and safety and efficacy in the infant receiving crofelemer will also be presented at ESPGHAN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Napo is also supporting an IIT in the US to evaluate crofelemer powder for oral solution for treatment of adult SBS-IF patients. The Company plans to pursue approval of crofelemer powder for oral solution for MVID in the US following the completion of the pivotal pediatric MVID trial. In accordance with the guidelines of specific EU countries, published data from such clinical investigations could support reimbursed early patient access to crofelemer for these debilitating IF conditions. Participation in early access programs, which do not exist in the US, provides an opportunity for reimbursement while impacting the morbidity and high cost of care for these chronic unmet needs. Additionally, the Company expects that if even just a very small number of MVID patients show benefit with crofelemer, this may potentially allow expedited pathways for regulatory approval in the US. In the US, Napo plans to pursue Breakthrough Therapy Designation (BTD) from the FDA. If a drug is designated as breakthrough therapy, the FDA will expedite the review timeline for the drug.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crofelemer is in development for symptomatic relief and treatment of moderate-to-severe diarrhea, with or without concomitant antimicrobial therapy, from bacterial, viral, and parasitic infections, including Vibrio cholerae, the bacterium that causes cholera.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Jaguar is poised to realize the opportunities for the commercialization of crofelemer powder for oral solution for our IF programs from MVID and SBS-IF. Jaguar, through Napo, holds global unencumbered rights for crofelemer.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Certificate of Elimination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15, 2026, the Company filed a Certificate of Elimination (the “Certificate of Elimination”) with the Secretary of State of the State of Delaware with respect to the Company’s Series B-2 Convertible Preferred Stock, Series C Perpetual Preferred Stock, Series D Perpetual Preferred Stock, Series E Preferred Stock, Series F Preferred Stock, Series G Convertible Preferred Stock, Series H Convertible Preferred Stock, Series I Convertible Preferred Stock, Series J Perpetual Preferred Stock, Series K Junior Participating Preferred Stock, Series L Perpetual Preferred Stock, Series M Perpetual Preferred Stock, Series N Perpetual Preferred Stock, and Series O Convertible Preferred Stock (collectively, the “Specified Series Preferred Stock”), which, effective upon filing, eliminated from the Company’s Certificate of Incorporation all matters set forth in the applicable certificates of designation with respect to the Specified Series Preferred Stock and returned shares of the Specified Series Preferred Stock to authorized but undesignated shares of the Company’s preferred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Napo Thera Securities Purchase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12, 2026, the Company entered into a securities purchase agreement (the “Purchase Agreement”) with the purchaser named therein (the “Purchaser”) who was a minority shareholder of Napo Therapeutics S.p.A. (“Napo Therapeutics”), an Italian company limited by shares and majority-owned subsidiary of Napo Pharmaceuticals, Inc. (“Napo”), a Delaware corporation and wholly-owned subsidiary of the Company, pursuant to which the Company agreed to issue and sell to the Purchaser 535,000 shares of common stock and a pre-funded warrant to purchase 2,077,255 shares of common stock, to acquire all of the shares of Napo Therapeutics held by the Purchaser (the “Consideration Shares”). Upon closing of the transactions contemplated under the Purchase Agreement (the “Purchase Transaction”), the Purchaser would surrender and transfer the Consideration Shares to the Company, and all of the Purchaser’s interests in and rights to securities of Napo Therapeutics would have been surrendered or extinguished. The Purchase Agreement contained representations, warranties, and covenants customary for a transaction of this type. The Purchase Transaction closed on September 15, 2026.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Series R Preferred Stock Dividend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October 2, 2026, the Company announced that its board of directors declared a special one-time dividend of one share of Series R Preferred Stock for each one share of common stock outstanding, plus each one share issuable upon exercise of certain warrants and pre-funded warrants to purchase, in aggregate, up to 142,535 shares of common stock with dividend rights (the “Eligible Warrants”) outstanding, at the close of business on October 13, 2026 (the “Record Date”) (the “Series R Preferred Stock Dividend”). The ex-dividend date for the Series R Preferred Stock Dividend, as determined by Nasdaq, was October 16, 2026. The Series R Preferred Stock Dividend was paid as of the close of business on October 15,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Series R Preferred Stock Dividend, on October 2, 2026, the Company filed a Certificate of Designation of Preferences, Rights and Limitations of Series R Convertible Preferred Stock (the “Series R Certificate of Designation”) with the Secretary of State of the State of Delaware, to designate 2,325,000 shares of the Company’s preferred stock, par value $0.0001 per share, as Series R Convertible Preferred Stock (the “Series R Preferred Stock”).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Section 3(a)(9) Exchange Transactions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Promissory Note Exchange Transaction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on June 24, 2025, the Company and Lincoln Alternative Strategies LLC (“LAS”) entered into that certain Note Exchange and Warrant Purchase Agreement (the “Note Exchange Agreement”), pursuant to which, among other things, the Company issued a 6% convertible promissory note (the “Note”) to LAS.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11, 2026, the Company entered into a privately negotiated exchange agreement with LAS (the “LAS Exchange Agreement”), pursuant to which the Company issued 557,377 shares (the “LAS Exchange Shares”) of common stock to LAS in exchange for the current Outstanding Balance (as defined in the Note) of the Note, which equaled to $175,016.36 as of September 11, 2026. Upon completion of such exchange, the Note was surrendered and cancelled.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Series Q Preferred Stock Exchange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on May 19, 2026, the Company sold and issued to Streeterville an aggregate of 408 shares of Series Q Perpetual Preferred Stock (the “Series Q Preferred Stock”) in two privately negotiated exchange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7, 2026, the Company entered into a privately negotiated exchange agreement with Streeterville (the “First Exchange Agreement”), pursuant to which the Company issued 53,191 shares (the “First Exchange Shares”) of common stock to Streeterville in exchange for an aggregate of 6 outstanding shares of Series Q Preferred Stock held by Streeterville (the “First Exchanged Preferred Shares”). Upon completion of such exchange, the First Exchanged Preferred Shares were cancelled and retired.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11, 2026, the Company entered into another privately negotiated exchange agreement with Streeterville (the “Second Exchange Agreement”), pursuant to which the Company issued 219,435 shares (the “Second Exchange Shares”) of common stock to Streeterville in exchange for an aggregate of 2.8 outstanding shares of Series Q Preferred Stock held by Streeterville (the “Second Exchanged Preferred Shares”), which when combined with the First Exchange Shares resulted in the aggregate issuance by the Company of more than 5% of the Company’s issued and outstanding shares of Common Stock, as last reported in the Company’s Quarterly Report on Form 10-Q filed on August 19, 2026. Upon completion of such exchange, the Second Exchanged Preferred Shares were cancelled and retired.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14, 2026, the Company entered into a third privately negotiated exchange agreement with Streeterville (the “Third Exchange Agreement”), pursuant to which the Company issued 31,847 shares (the “Third Exchange Shares,” and, together with the First Exchange Shares and the Second Exchange Shares, collectively the “Streeterville Exchange Shares”) of common stock to Streeterville in exchange for an aggregate of 0.4 outstanding shares of Series Q Preferred Stock held by Streeterville (the “Third Exchanged Preferred Shares”). Upon completion of such exchange, the Third Exchanged Preferred Shares were cancelled and retired.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Streeterville 2025 Note Exchange Transaction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on November 12, 2025, the Company issued and sold to Streeterville a secured promissory note in the original principal amount of $10,810,000 (as amended, the “2025 Note”) pursuant to that certain Note Purchase Agreement between the same parties dated as of the even date.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23, 2026, the Company entered into privately negotiated exchange agreements with Streeterville (collectively, the “2025 Note Exchange Agreements”), pursuant to which the Company issued an aggregate of 547,898 shares (the “2025 Note Exchange Shares”) of common stock to Streeterville in exchange for a $5,049,909.26 reduction in the outstanding balance of the 2025 Note (the “2025 Note Exchange Transaction”). Upon completion of the 2025 Note Exchange Transaction, the 2025 Note was fully paid and cancelled.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Streeterville 2021 Note Exchange Transaction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23, 2026, the Company entered into privately negotiated exchange agreements with Streeterville, pursuant to which the Company issued an aggregate of 182,091 shares of common stock to Streeterville in exchange for a $1,678,320 reduction in the outstanding balance of the 2021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On September 25, 2026, the Company entered into privately negotiated exchange agreements with Streeterville, pursuant to which the Company issued an aggregate of 481,584 shares of common stock to Streeterville in exchange for a $3,400,000 reduction in the outstanding balance of the 2021 Note.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Description of the Offering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this prospectus, we may offer up to $75,000,000 of common stock, preferred stock, warrants, subscription rights or units from time to time in one or more offerings and in any combination.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the State of Delaware on June 6, 2013. Our principal executive office is located at 200 Pine Street, Suite 400, San Francisco, CA 94104, for human health prescription drugs, and the telephone number is (415) 371 8300. We have an additional office at 200 Pine Street, Suite 600, San Francisco, CA 94104, for Jaguar Animal Health. Our website for the corporation is https://jaguar.health.com. The information contained on, or that can be accessed through, our website is not part of this prospectus. Our voting common stock is listed on the Nasdaq Capital Market and trades under the symbol “JAGX.”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Information contained in, or accessible through, our website does not constitute part of this prospectus or registration statement and inclusions of our website address in this prospectus or registration statement are inactive textual references only. You should not rely on any such information in making your decision whether to purchase our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69519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An investment in our securities involves a high degree of risk. Before deciding whether to invest in our securities, you should consider carefully the risk factors described under the heading “</w:t>
      </w:r>
      <w:r>
        <w:rPr>
          <w:rFonts w:ascii="Times New Roman" w:hAnsi="Times New Roman"/>
          <w:i/>
          <w:sz w:val="20"/>
        </w:rPr>
        <w:t>Risk Factors</w:t>
      </w:r>
      <w:r>
        <w:rPr>
          <w:rFonts w:ascii="Times New Roman" w:hAnsi="Times New Roman"/>
          <w:sz w:val="20"/>
        </w:rPr>
        <w:t xml:space="preserve">” contained in the applicable prospectus supplement and any related free writing prospectus, and those described under similar headings in our periodic reports filed with the SEC, which are incorporated by reference in this prospectus. Before making an investment decision, you should carefully consider these risks as well as other information we include or incorporate by reference in this prospectus or include in any applicable prospectus supplement. Additional risks and uncertainties not presently known to us or that we deem currently immaterial may also impair our business operations or adversely affect our results of operations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69519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estimated net proceeds from the sale of the securities offered by us for working capital and other general corporate purposes, and possibly pursuing other strategic alternatives. Working capital and other general corporate purposes may include research and development expenditures, capital expenditures, operating and administrative expenditures, and any other purpose that we may specify in any prospectus supplement. We have not yet determined the amount of net proceeds to be used specifically for any of the foregoing purposes. Accordingly, our management will have significant discretion and flexibility in applying the net proceeds from the sale of the securities offered by us. Pending any use, as described above, we intend to invest the net proceeds in high-quality, short-term, interest-bearing securities. Our plans to use the estimated net proceeds from the sale of the securities offered by us may change, and if they do, we will update this information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69519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the most important terms of our capital stock. Because it is only a summary of the provisions of our Third Amended and Restated Certificate of Incorporation, as amended (the “Certificate of Incorporation”), and amended and restated bylaws, it does not contain all of the information that may be important to you. For a complete description of the matters set forth in this “Description of Capital Stock,” you should refer to our Certificate of Incorporation and our amended and restated bylaws and to the applicable provisions of Delaware law. Our authorized capital stock consists of 554,475,074 shares of capital stock, which consists of (i) 500,000,000 shares of voting common stock, $0.0001 par value per share, (ii) 50,000,000 shares of convertible non-voting common stock, $0.0001 par value per share, and (iii) 4,475,074 shares of preferred stock, $0.0001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common stock: voting common stock and non-voting common stock. Holders of both classes of our common stock are entitled to receive ratably any dividends declared by our board of directors out of funds legally available for that purpose, subject to any preferential dividend rights of any outstanding preferred stock or that we may designate or issue in the future. In the event of our liquidation, dissolution or winding up, the holders of both classes of our common stock are entitled to share ratably in all assets remaining after the payment of liabilities, subject to the prior distribution rights of preferred stock then outstanding. There are no preemptive or subscription rights applicable to either class of common stock. Our voting common stock has no conversion rights. Our non-voting common stock is convertible into voting common stock as described below. There are no redemption or sinking fund provisions applicable to either class of common stock. The rights, preferences, and privileges of the holders of both classes of common stock are subject to and may be adversely affected by, the rights of the holders of shares of any series of preferred stock that we may designate in the future. All of our outstanding shares of voting common stock and non-voting common stock are fully paid and nonassessable. As of the date of this prospectus, there are 2,323,373 shares of voting common stock and 0 share of non-voting common stock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voting common stock are entitled to one vote for each share held on all matters submitted to a vote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Non-Voting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non-voting common stock do not have any cumulative voting rights and are not entitled to vote, except on an as-converted basis with respect to any Change of Control (as defined in the Certificate of Incorporation). Each share of non-voting common stock is convertible into one hundred eighty-six billion forty-six million eight hundred seventy-five thousandth (1/186,046,875,000th) of a share of voting common stock at the election of the holder thereof. As of the date of this prospectus, there are no shares of non-voting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our board of directors is authorized to issue up to 4,475,074 shares of preferred stock from time to time, in one or more classes or series, without stockholder approval. As of the date of this prospectus, there are 240 shares of Series P Non-Convertible Preferred Stock, 906.18 shares of Series Q Perpetual Preferred Stock, and 2,188,712 shares of Series R Convertible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class or series, our board of directors is required by the Delaware General Corporation Law (“DGCL”) and our Certificate of Incorporation to adopt resolutions and file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of designation with the Delaware Secretary of State. The certificate of designation fixes for each class or series the designations, powers, preferences, rights, qualifications, limitations and restrictions of that class or series,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constituting each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and terms of redemption, including sinking fund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 rights and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terms concerning the distribution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exchange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when issued and paid for, will be validly issued, fully paid and nonassessable and will not have any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specify the following terms relating to any class or series of preferred stock offered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United States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the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Delaware law and our Certificate of Incorporation and amended and restated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Amended and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amended and restated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that any action to be taken by our stockholders be effected at a duly called annual or special meeting and not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our board of directors, the chairman of our board of directors, the chief executive officer or the president (in the absence of a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procedures for stockholder proposals and director nominations at annual meetings of our stockholders and for stockholder director nominations at special meetings of our stockholders at which the election of directors is specified in the meeting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directors may be removed only for cause and only by the affirmative vote of the holders of at least seventy-five (75%) in voting power of the outstanding shares of capital stock of the Company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the holders of any series of preferred stock, vacancies or newly created directorships in our board of directors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that our board of directors is divided into three classes, Class I, Class II and Class III, with each class serving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board of directors to create and issue new series of preferred stock from blank check authority,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the holders of any series of preferred stock, the authorized number of directors of the Company will be established exclusively by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unless recommended by the board of directors, stockholder action to amend the bylaws requires the affirmative vote of the holders of at least seventy-five percent (75%) in voting power of the outstanding shares of capital stock of the Company entitled to vote thereon;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approval of the holders of at least 75% in voting power of the outstanding shares of capital stock of the Company entitled to vote thereon and a majority of the board of directors to amend certain of the above-mentioned provisions.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provisions of our Certificate of Incorporation and amended and restated bylaws, unless we consent in writing to the selection of an alternative forum, the Court of Chancery of the State of Delaware will be the sole and exclusive forum for: (i) any derivative action or proceeding brought on behalf of us; (ii)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proceeding asserting a claim of breach of a fiduciary duty owed by, or other wrongdoing by, any of our directors, officers or other employees or agents to us or our stockholders; (iii) any action asserting a claim against us arising pursuant to any provision of the Delaware General Corporation Law or our Certificate of Incorporation or amended and restated bylaws; (iv) any action to interpret, apply, enforce or determine the validity of our Certificate of Incorporation or amended and restated bylaws; or (v) any action asserting a claim against us governed by the internal affairs doctrine; provided that, if and only if the Court of Chancery of the State of Delaware does not have subject matter jurisdiction, then any such action may be brought in another state or federal court sitting in the State of Delaware.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or amended and restated bylaws to be inapplicable or unenforceable in such action. Our amended and restated bylaws provide that if any part of the exclusive forum provision is held to be invalid, illegal or unenforceable, as applied to any person or entity or circumstance for any reason whatsoever, then, to the fullest extent permitted by law, the validity, legality and enforceability of such part in any other circumstance and of the remaining parts of the exclusive forum provision and the application of such provision to other persons or entities and circumstances will not in any way be affected or impaired thereby.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date of the transaction,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those shares owned (1) by persons who are directors and also officers, and (2) by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the payment of a premium over the market price for the shares of common stock held by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provisions of Delaware law and our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takeover attempts. These provisions may also have the effect of preventing changes in our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voting common stock is Equiniti Trust Company, LLC. Their address is 28 Liberty Street, Floor 53, New York, NY 10005. </w:t>
      </w:r>
    </w:p>
    <w:p>
      <w:pPr>
        <w:pStyle w:val="TextBody"/>
        <w:bidi w:val="0"/>
        <w:spacing w:before="360" w:after="0"/>
        <w:jc w:val="left"/>
        <w:rPr>
          <w:rFonts w:ascii="Times New Roman" w:hAnsi="Times New Roman"/>
          <w:b/>
          <w:sz w:val="20"/>
        </w:rPr>
      </w:pPr>
      <w:r>
        <w:rPr>
          <w:rFonts w:ascii="Times New Roman" w:hAnsi="Times New Roman"/>
          <w:b/>
          <w:sz w:val="20"/>
        </w:rPr>
        <w:t xml:space="preserve">National Securities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voting common stock is currently listed on Nasdaq under the symbol “JAGX.”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69519_7"/>
      <w:bookmarkEnd w:id="9"/>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common stock or preferred stock. Warrants may be issued independently or together with common stock or preferred stock and may be attached to or separate from any offered securities. Each series of warrants will be issued under a separate warrant agreement to be entered into between us and a warrant agent. The warrant agent will act solely as our agent in connection with the warrants and will not assume any obligation or relationship of agency or trust for or with any registered holders of warrants or beneficial owners of warrants. This summary of some provisions of the warrants is not complete. You should refer to the warrant agreement, including the forms of warrant certificate representing the warrants, relating to the specific warrants being offered for the complete terms of the warrant agreement and the warrants. That warrant agreement, together with the terms of the warrant certificate and warrants, will be filed with the SEC in connection with the offering of the specific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purchasable upon exercise of such warrants and the procedures and conditions relating to the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securities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will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of the number or amount of securities receivable upon exercise of the warrants or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or exercise of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to purchase equity securities may also include, if applicable, a discussion of 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Warrants for the purchase of common stock or preferred stock will be offered and exercisable for U.S. dollars only. Securities warrants will be issued in registered form only. </w:t>
      </w:r>
    </w:p>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number of shares of common stock or preferred stock at the exercise price set forth in, or calculable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After the close of business on the expiration date, unexercised warrants will become void. We will specify the place or places where, and the manner in which, warrants may be exercised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receipt of payment and the warrant certificate properly completed and duly executed at the corporate trust office of the warrant agent or any other office indicated in the applicable prospectus supplement, we will, as soon as practicable, forward the purchased securities. If less than all of the warrants represented by the warrant certificate are exercised, a new warrant certificate will be issued for the remaining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any warrants to purchase common stock or preferred stock, holders of the warrants will not have any of the rights of holders of common stock or preferred stock purchasable upon exercise, including the right to vote or to receive any payments of dividends on the common stock or preferred stock purchasable upon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69519_8"/>
      <w:bookmarkEnd w:id="10"/>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our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The applicable prospectus supplement will describe the specific terms of any offering of subscription rights for which this prospectus is being delivered,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common stock, preferred stock or warrants for those securities will be offered under the stockholder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each security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subscription rights issued to each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the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appropriate, a discussion of material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69519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consisting of common stock, preferred stock, warrants, or subscription rights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units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that differ from those described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set forth in any prospectus supplement or as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Description of Warrants</w:t>
      </w:r>
      <w:r>
        <w:rPr>
          <w:rFonts w:ascii="Times New Roman" w:hAnsi="Times New Roman"/>
          <w:sz w:val="20"/>
        </w:rPr>
        <w:t>,” and “</w:t>
      </w:r>
      <w:r>
        <w:rPr>
          <w:rFonts w:ascii="Times New Roman" w:hAnsi="Times New Roman"/>
          <w:i/>
          <w:sz w:val="20"/>
        </w:rPr>
        <w:t>Description of Subscription Rights</w:t>
      </w:r>
      <w:r>
        <w:rPr>
          <w:rFonts w:ascii="Times New Roman" w:hAnsi="Times New Roman"/>
          <w:sz w:val="20"/>
        </w:rPr>
        <w:t xml:space="preserve">” will apply to each unit, as applicable, and to any common stock, preferred stock, warrant, or subscription right included in each unit, as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Unit Agent </w:t>
      </w:r>
    </w:p>
    <w:p>
      <w:pPr>
        <w:pStyle w:val="TextBody"/>
        <w:bidi w:val="0"/>
        <w:spacing w:before="120" w:after="0"/>
        <w:jc w:val="left"/>
        <w:rPr>
          <w:rFonts w:ascii="Times New Roman" w:hAnsi="Times New Roman"/>
          <w:sz w:val="20"/>
        </w:rPr>
      </w:pPr>
      <w:r>
        <w:rPr>
          <w:rFonts w:ascii="Times New Roman" w:hAnsi="Times New Roman"/>
          <w:sz w:val="20"/>
        </w:rPr>
        <w:t xml:space="preserve">The name and address of the unit agent for any units we offer will be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such numerous distinct series as we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69519_10"/>
      <w:bookmarkEnd w:id="1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from time to time in one or more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brokers or dealers (acting as agent or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Nasdaq Capital Market, in the over-the-counter market or on any other national securities exchange on which our shares are then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exercise of rights distributed or issued to our security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block trade in which the broker or dealer engaged to handle the block trade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meanings of Rule 415(a)(4) under the Securities Act or through a market maker or into an existing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through a specific bidding or auction process, on a negotiated basis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(including put or call options), whether the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on a best-efforts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pursuant to applicable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through a combination of any of the above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involving short sales of the shares of common stock by underwriters,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shares of common stock short and deliver the shares to close out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option or other types of transactions that require us to deliver shares of common stock to an underwriter, broker or dealer, who will then resell or transfer the shares of common stock under this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 or pledge the shares of common stock to an underwriter, broker or dealer, who may sell the loaned shares or, in the event of default, sell the pledged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use any underwriter, we will provide a prospectus supplement that will name any underwriter involved in the offer and sale of the securities. The prospectus supplement will also set forth the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or purchase price and any discounts or commissions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allowed or paid to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exchanges on which the securities may be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of distribution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agreement, arrangement or understanding entered into with the underwriters, brokers or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information we think is important.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The securities may be sold from time to time by us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varying prices determined at the time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sales may be effected: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other types of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also make direct sales through subscription rights distributed to our existing stockholders on a pro rata basis, which may or may not be transferable. In any distribution of subscription rights to our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 In addition, whether or not all of the underlying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are subscribed for, we may concurrently offer additional securities to third parties directly or through underwriters, dealers or agents.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sold directly by us through agents designated by us, as applicable, from time to time. Any agent involved in the offer or sale of the securities in respect of which this prospectus is delivered will be named, and any commissions payable by us, as applicable, to such agent will be set forth in, the prospectus supplement. Unless otherwise indicated in the prospectus supplement, any such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 </w:t>
      </w:r>
    </w:p>
    <w:p>
      <w:pPr>
        <w:pStyle w:val="TextBody"/>
        <w:bidi w:val="0"/>
        <w:spacing w:before="240" w:after="0"/>
        <w:jc w:val="left"/>
        <w:rPr>
          <w:rFonts w:ascii="Times New Roman" w:hAnsi="Times New Roman"/>
          <w:sz w:val="20"/>
        </w:rPr>
      </w:pPr>
      <w:r>
        <w:rPr>
          <w:rFonts w:ascii="Times New Roman" w:hAnsi="Times New Roman"/>
          <w:sz w:val="20"/>
        </w:rPr>
        <w:t xml:space="preserve">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and savings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educational and charitable institutions.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cases, these purchasers must be approved by us.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must have sold to these underwriters the securities not subject to delayed delivery. Underwriters and other agents will not have any responsibility in respect of the validity or performance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securities initially sold outside the U.S. may be resold in the U.S. through underwriters, dealers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to which offered securities are sold by us for public offering and sale may make a market in such securities, but those underwriters will not be obligated to do so and may discontinue any market making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the securities offered by this prospectus will be described in the applicable prospectus supplement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In compliance with the guidelines of the Financial Industry Regulatory Authority (“FINRA”), the aggregate maximum discount, commission, agency fees or other items constituting underwriting compensation to be received by any FINRA member or independent broker-dealer will not exceed 8% of the offering proceeds from any offering pursuant to this prospectus and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FINRA member may participate in any offering of securities made under this prospectus if such member has a conflict of interest under FINRA Rule 5121, including if 5% or more of the net proceeds, not including underwriting compensation, of any offering of securities made under this prospectus will be received by a FINRA member participating in the offering or affiliates or associated persons of such FINRA members, unless a qualified independent underwriter has participated in the offering or the offering otherwise complies with FINRA Rule 5121.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pay certain fees and expenses incurred by the Company incident to the registration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agreed to keep this prospectus effective until the date on which all registrable securities covered by this prospectus have been sold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69519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by this prospectus will be passed upon for us by our counsel, Reed Smith LLP, Palo Alto, California. </w:t>
      </w:r>
    </w:p>
    <w:p>
      <w:pPr>
        <w:pStyle w:val="TextBody"/>
        <w:bidi w:val="0"/>
        <w:spacing w:before="480" w:after="0"/>
        <w:jc w:val="center"/>
        <w:rPr>
          <w:rFonts w:ascii="Times New Roman" w:hAnsi="Times New Roman"/>
          <w:b/>
          <w:sz w:val="20"/>
        </w:rPr>
      </w:pPr>
      <w:bookmarkStart w:id="14" w:name="toc169519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the Company as of December 31, 2025 and 2024 and for each of the two years in the period ended December 31, 2025 incorporated by reference in this prospectus and the registration statement have been so incorporated in reliance on the report of RBSM LLP, an independent registered public accounting firm, incorporated herein by reference,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69519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https://jaguar.health, through which you can access our SEC filings. The information set forth on, or accessible from,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69519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that we have previously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on April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period ending </w:t>
            </w:r>
            <w:hyperlink r:id="rId4">
              <w:r>
                <w:rPr>
                  <w:rStyle w:val="InternetLink"/>
                  <w:rFonts w:ascii="Times New Roman" w:hAnsi="Times New Roman"/>
                  <w:sz w:val="20"/>
                </w:rPr>
                <w:t>March 31, 2026</w:t>
              </w:r>
            </w:hyperlink>
            <w:r>
              <w:rPr>
                <w:rFonts w:ascii="Times New Roman" w:hAnsi="Times New Roman"/>
                <w:sz w:val="20"/>
              </w:rPr>
              <w:t xml:space="preserve"> filed with the SEC on May 20, 2026, and for the period ending </w:t>
            </w:r>
            <w:hyperlink r:id="rId5">
              <w:r>
                <w:rPr>
                  <w:rStyle w:val="InternetLink"/>
                  <w:rFonts w:ascii="Times New Roman" w:hAnsi="Times New Roman"/>
                  <w:sz w:val="20"/>
                </w:rPr>
                <w:t>June 30, 2026</w:t>
              </w:r>
            </w:hyperlink>
            <w:r>
              <w:rPr>
                <w:rFonts w:ascii="Times New Roman" w:hAnsi="Times New Roman"/>
                <w:sz w:val="20"/>
              </w:rPr>
              <w:t xml:space="preserve"> filed with the SEC on August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definitive proxy statement on Schedule 14A, relating to our Annual Meeting of Stockholders adjourned on </w:t>
            </w:r>
            <w:hyperlink r:id="rId6">
              <w:r>
                <w:rPr>
                  <w:rStyle w:val="InternetLink"/>
                  <w:rFonts w:ascii="Times New Roman" w:hAnsi="Times New Roman"/>
                  <w:sz w:val="20"/>
                </w:rPr>
                <w:t>May 22, 2026</w:t>
              </w:r>
            </w:hyperlink>
            <w:r>
              <w:rPr>
                <w:rFonts w:ascii="Times New Roman" w:hAnsi="Times New Roman"/>
                <w:sz w:val="20"/>
              </w:rPr>
              <w:t xml:space="preserve"> and June 2, 2026 and reconvened on June 8, 2026, filed on </w:t>
            </w:r>
            <w:hyperlink r:id="rId7">
              <w:r>
                <w:rPr>
                  <w:rStyle w:val="InternetLink"/>
                  <w:rFonts w:ascii="Times New Roman" w:hAnsi="Times New Roman"/>
                  <w:sz w:val="20"/>
                </w:rPr>
                <w:t>April 30, 2026</w:t>
              </w:r>
            </w:hyperlink>
            <w:r>
              <w:rPr>
                <w:rFonts w:ascii="Times New Roman" w:hAnsi="Times New Roman"/>
                <w:sz w:val="20"/>
              </w:rPr>
              <w:t xml:space="preserve">, amended and supplemented by the supplements to the definitive proxy statement filed on </w:t>
            </w:r>
            <w:hyperlink r:id="rId8">
              <w:r>
                <w:rPr>
                  <w:rStyle w:val="InternetLink"/>
                  <w:rFonts w:ascii="Times New Roman" w:hAnsi="Times New Roman"/>
                  <w:sz w:val="20"/>
                </w:rPr>
                <w:t>May  6, 2026</w:t>
              </w:r>
            </w:hyperlink>
            <w:r>
              <w:rPr>
                <w:rFonts w:ascii="Times New Roman" w:hAnsi="Times New Roman"/>
                <w:sz w:val="20"/>
              </w:rPr>
              <w:t xml:space="preserve"> and </w:t>
            </w:r>
            <w:hyperlink r:id="rId9">
              <w:r>
                <w:rPr>
                  <w:rStyle w:val="InternetLink"/>
                  <w:rFonts w:ascii="Times New Roman" w:hAnsi="Times New Roman"/>
                  <w:sz w:val="20"/>
                </w:rPr>
                <w:t>May 29,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0">
              <w:r>
                <w:rPr>
                  <w:rStyle w:val="InternetLink"/>
                  <w:rFonts w:ascii="Times New Roman" w:hAnsi="Times New Roman"/>
                  <w:sz w:val="20"/>
                </w:rPr>
                <w:t>January 12, 2026</w:t>
              </w:r>
            </w:hyperlink>
            <w:r>
              <w:rPr>
                <w:rFonts w:ascii="Times New Roman" w:hAnsi="Times New Roman"/>
                <w:sz w:val="20"/>
              </w:rPr>
              <w:t xml:space="preserve"> (SEC Accession No. 0001193125-26-009221), </w:t>
            </w:r>
            <w:hyperlink r:id="rId11">
              <w:r>
                <w:rPr>
                  <w:rStyle w:val="InternetLink"/>
                  <w:rFonts w:ascii="Times New Roman" w:hAnsi="Times New Roman"/>
                  <w:sz w:val="20"/>
                </w:rPr>
                <w:t>January  12, 2026</w:t>
              </w:r>
            </w:hyperlink>
            <w:r>
              <w:rPr>
                <w:rFonts w:ascii="Times New Roman" w:hAnsi="Times New Roman"/>
                <w:sz w:val="20"/>
              </w:rPr>
              <w:t xml:space="preserve"> (SEC Accession No.  0001193125-26-009644), </w:t>
            </w:r>
            <w:hyperlink r:id="rId12">
              <w:r>
                <w:rPr>
                  <w:rStyle w:val="InternetLink"/>
                  <w:rFonts w:ascii="Times New Roman" w:hAnsi="Times New Roman"/>
                  <w:sz w:val="20"/>
                </w:rPr>
                <w:t>January  15, 2026</w:t>
              </w:r>
            </w:hyperlink>
            <w:r>
              <w:rPr>
                <w:rFonts w:ascii="Times New Roman" w:hAnsi="Times New Roman"/>
                <w:sz w:val="20"/>
              </w:rPr>
              <w:t xml:space="preserve">, </w:t>
            </w:r>
            <w:hyperlink r:id="rId13">
              <w:r>
                <w:rPr>
                  <w:rStyle w:val="InternetLink"/>
                  <w:rFonts w:ascii="Times New Roman" w:hAnsi="Times New Roman"/>
                  <w:sz w:val="20"/>
                </w:rPr>
                <w:t>January  23, 2026</w:t>
              </w:r>
            </w:hyperlink>
            <w:r>
              <w:rPr>
                <w:rFonts w:ascii="Times New Roman" w:hAnsi="Times New Roman"/>
                <w:sz w:val="20"/>
              </w:rPr>
              <w:t xml:space="preserve">, </w:t>
            </w:r>
            <w:hyperlink r:id="rId14">
              <w:r>
                <w:rPr>
                  <w:rStyle w:val="InternetLink"/>
                  <w:rFonts w:ascii="Times New Roman" w:hAnsi="Times New Roman"/>
                  <w:sz w:val="20"/>
                </w:rPr>
                <w:t>February  18, 2026</w:t>
              </w:r>
            </w:hyperlink>
            <w:r>
              <w:rPr>
                <w:rFonts w:ascii="Times New Roman" w:hAnsi="Times New Roman"/>
                <w:sz w:val="20"/>
              </w:rPr>
              <w:t xml:space="preserve">, </w:t>
            </w:r>
            <w:hyperlink r:id="rId15">
              <w:r>
                <w:rPr>
                  <w:rStyle w:val="InternetLink"/>
                  <w:rFonts w:ascii="Times New Roman" w:hAnsi="Times New Roman"/>
                  <w:sz w:val="20"/>
                </w:rPr>
                <w:t>March  3, 2026</w:t>
              </w:r>
            </w:hyperlink>
            <w:r>
              <w:rPr>
                <w:rFonts w:ascii="Times New Roman" w:hAnsi="Times New Roman"/>
                <w:sz w:val="20"/>
              </w:rPr>
              <w:t xml:space="preserve">, </w:t>
            </w:r>
            <w:hyperlink r:id="rId16">
              <w:r>
                <w:rPr>
                  <w:rStyle w:val="InternetLink"/>
                  <w:rFonts w:ascii="Times New Roman" w:hAnsi="Times New Roman"/>
                  <w:sz w:val="20"/>
                </w:rPr>
                <w:t>March  6, 2026</w:t>
              </w:r>
            </w:hyperlink>
            <w:r>
              <w:rPr>
                <w:rFonts w:ascii="Times New Roman" w:hAnsi="Times New Roman"/>
                <w:sz w:val="20"/>
              </w:rPr>
              <w:t xml:space="preserve">, </w:t>
            </w:r>
            <w:hyperlink r:id="rId17">
              <w:r>
                <w:rPr>
                  <w:rStyle w:val="InternetLink"/>
                  <w:rFonts w:ascii="Times New Roman" w:hAnsi="Times New Roman"/>
                  <w:sz w:val="20"/>
                </w:rPr>
                <w:t>March  9, 2026</w:t>
              </w:r>
            </w:hyperlink>
            <w:r>
              <w:rPr>
                <w:rFonts w:ascii="Times New Roman" w:hAnsi="Times New Roman"/>
                <w:sz w:val="20"/>
              </w:rPr>
              <w:t xml:space="preserve">, </w:t>
            </w:r>
            <w:hyperlink r:id="rId18">
              <w:r>
                <w:rPr>
                  <w:rStyle w:val="InternetLink"/>
                  <w:rFonts w:ascii="Times New Roman" w:hAnsi="Times New Roman"/>
                  <w:sz w:val="20"/>
                </w:rPr>
                <w:t>April  7, 2026</w:t>
              </w:r>
            </w:hyperlink>
            <w:r>
              <w:rPr>
                <w:rFonts w:ascii="Times New Roman" w:hAnsi="Times New Roman"/>
                <w:sz w:val="20"/>
              </w:rPr>
              <w:t xml:space="preserve">, </w:t>
            </w:r>
            <w:hyperlink r:id="rId19">
              <w:r>
                <w:rPr>
                  <w:rStyle w:val="InternetLink"/>
                  <w:rFonts w:ascii="Times New Roman" w:hAnsi="Times New Roman"/>
                  <w:sz w:val="20"/>
                </w:rPr>
                <w:t>April  9, 2026</w:t>
              </w:r>
            </w:hyperlink>
            <w:r>
              <w:rPr>
                <w:rFonts w:ascii="Times New Roman" w:hAnsi="Times New Roman"/>
                <w:sz w:val="20"/>
              </w:rPr>
              <w:t xml:space="preserve">, </w:t>
            </w:r>
            <w:hyperlink r:id="rId20">
              <w:r>
                <w:rPr>
                  <w:rStyle w:val="InternetLink"/>
                  <w:rFonts w:ascii="Times New Roman" w:hAnsi="Times New Roman"/>
                  <w:sz w:val="20"/>
                </w:rPr>
                <w:t>April  21, 2026</w:t>
              </w:r>
            </w:hyperlink>
            <w:r>
              <w:rPr>
                <w:rFonts w:ascii="Times New Roman" w:hAnsi="Times New Roman"/>
                <w:sz w:val="20"/>
              </w:rPr>
              <w:t xml:space="preserve">, </w:t>
            </w:r>
            <w:hyperlink r:id="rId21">
              <w:r>
                <w:rPr>
                  <w:rStyle w:val="InternetLink"/>
                  <w:rFonts w:ascii="Times New Roman" w:hAnsi="Times New Roman"/>
                  <w:sz w:val="20"/>
                </w:rPr>
                <w:t>April  27, 2026</w:t>
              </w:r>
            </w:hyperlink>
            <w:r>
              <w:rPr>
                <w:rFonts w:ascii="Times New Roman" w:hAnsi="Times New Roman"/>
                <w:sz w:val="20"/>
              </w:rPr>
              <w:t xml:space="preserve">, </w:t>
            </w:r>
            <w:hyperlink r:id="rId22">
              <w:r>
                <w:rPr>
                  <w:rStyle w:val="InternetLink"/>
                  <w:rFonts w:ascii="Times New Roman" w:hAnsi="Times New Roman"/>
                  <w:sz w:val="20"/>
                </w:rPr>
                <w:t>May 4, 2026</w:t>
              </w:r>
            </w:hyperlink>
            <w:r>
              <w:rPr>
                <w:rFonts w:ascii="Times New Roman" w:hAnsi="Times New Roman"/>
                <w:sz w:val="20"/>
              </w:rPr>
              <w:t xml:space="preserve"> (SEC Accession No. 0001193125-26-202614), </w:t>
            </w:r>
            <w:hyperlink r:id="rId23">
              <w:r>
                <w:rPr>
                  <w:rStyle w:val="InternetLink"/>
                  <w:rFonts w:ascii="Times New Roman" w:hAnsi="Times New Roman"/>
                  <w:sz w:val="20"/>
                </w:rPr>
                <w:t>May  4, 2026</w:t>
              </w:r>
            </w:hyperlink>
            <w:r>
              <w:rPr>
                <w:rFonts w:ascii="Times New Roman" w:hAnsi="Times New Roman"/>
                <w:sz w:val="20"/>
              </w:rPr>
              <w:t xml:space="preserve"> (SEC Accession No.  0001193125-26-204310), </w:t>
            </w:r>
            <w:hyperlink r:id="rId24">
              <w:r>
                <w:rPr>
                  <w:rStyle w:val="InternetLink"/>
                  <w:rFonts w:ascii="Times New Roman" w:hAnsi="Times New Roman"/>
                  <w:sz w:val="20"/>
                </w:rPr>
                <w:t>May 7, 2026</w:t>
              </w:r>
            </w:hyperlink>
            <w:r>
              <w:rPr>
                <w:rFonts w:ascii="Times New Roman" w:hAnsi="Times New Roman"/>
                <w:sz w:val="20"/>
              </w:rPr>
              <w:t xml:space="preserve">, </w:t>
            </w:r>
            <w:hyperlink r:id="rId25">
              <w:r>
                <w:rPr>
                  <w:rStyle w:val="InternetLink"/>
                  <w:rFonts w:ascii="Times New Roman" w:hAnsi="Times New Roman"/>
                  <w:sz w:val="20"/>
                </w:rPr>
                <w:t>May 19, 2026</w:t>
              </w:r>
            </w:hyperlink>
            <w:r>
              <w:rPr>
                <w:rFonts w:ascii="Times New Roman" w:hAnsi="Times New Roman"/>
                <w:sz w:val="20"/>
              </w:rPr>
              <w:t xml:space="preserve">, </w:t>
            </w:r>
            <w:hyperlink r:id="rId26">
              <w:r>
                <w:rPr>
                  <w:rStyle w:val="InternetLink"/>
                  <w:rFonts w:ascii="Times New Roman" w:hAnsi="Times New Roman"/>
                  <w:sz w:val="20"/>
                </w:rPr>
                <w:t>May 22, 2026</w:t>
              </w:r>
            </w:hyperlink>
            <w:r>
              <w:rPr>
                <w:rFonts w:ascii="Times New Roman" w:hAnsi="Times New Roman"/>
                <w:sz w:val="20"/>
              </w:rPr>
              <w:t xml:space="preserve">, </w:t>
            </w:r>
            <w:hyperlink r:id="rId27">
              <w:r>
                <w:rPr>
                  <w:rStyle w:val="InternetLink"/>
                  <w:rFonts w:ascii="Times New Roman" w:hAnsi="Times New Roman"/>
                  <w:sz w:val="20"/>
                </w:rPr>
                <w:t>May 27, 2026</w:t>
              </w:r>
            </w:hyperlink>
            <w:r>
              <w:rPr>
                <w:rFonts w:ascii="Times New Roman" w:hAnsi="Times New Roman"/>
                <w:sz w:val="20"/>
              </w:rPr>
              <w:t xml:space="preserve">, </w:t>
            </w:r>
            <w:hyperlink r:id="rId28">
              <w:r>
                <w:rPr>
                  <w:rStyle w:val="InternetLink"/>
                  <w:rFonts w:ascii="Times New Roman" w:hAnsi="Times New Roman"/>
                  <w:sz w:val="20"/>
                </w:rPr>
                <w:t>June 2, 2026</w:t>
              </w:r>
            </w:hyperlink>
            <w:r>
              <w:rPr>
                <w:rFonts w:ascii="Times New Roman" w:hAnsi="Times New Roman"/>
                <w:sz w:val="20"/>
              </w:rPr>
              <w:t xml:space="preserve">, </w:t>
            </w:r>
            <w:hyperlink r:id="rId29">
              <w:r>
                <w:rPr>
                  <w:rStyle w:val="InternetLink"/>
                  <w:rFonts w:ascii="Times New Roman" w:hAnsi="Times New Roman"/>
                  <w:sz w:val="20"/>
                </w:rPr>
                <w:t>June 8, 2026</w:t>
              </w:r>
            </w:hyperlink>
            <w:r>
              <w:rPr>
                <w:rFonts w:ascii="Times New Roman" w:hAnsi="Times New Roman"/>
                <w:sz w:val="20"/>
              </w:rPr>
              <w:t xml:space="preserve">, </w:t>
            </w:r>
            <w:hyperlink r:id="rId30">
              <w:r>
                <w:rPr>
                  <w:rStyle w:val="InternetLink"/>
                  <w:rFonts w:ascii="Times New Roman" w:hAnsi="Times New Roman"/>
                  <w:sz w:val="20"/>
                </w:rPr>
                <w:t>June 11, 2026</w:t>
              </w:r>
            </w:hyperlink>
            <w:r>
              <w:rPr>
                <w:rFonts w:ascii="Times New Roman" w:hAnsi="Times New Roman"/>
                <w:sz w:val="20"/>
              </w:rPr>
              <w:t xml:space="preserve">, </w:t>
            </w:r>
            <w:hyperlink r:id="rId31">
              <w:r>
                <w:rPr>
                  <w:rStyle w:val="InternetLink"/>
                  <w:rFonts w:ascii="Times New Roman" w:hAnsi="Times New Roman"/>
                  <w:sz w:val="20"/>
                </w:rPr>
                <w:t>June 18, 2026</w:t>
              </w:r>
            </w:hyperlink>
            <w:r>
              <w:rPr>
                <w:rFonts w:ascii="Times New Roman" w:hAnsi="Times New Roman"/>
                <w:sz w:val="20"/>
              </w:rPr>
              <w:t xml:space="preserve">, </w:t>
            </w:r>
            <w:hyperlink r:id="rId32">
              <w:r>
                <w:rPr>
                  <w:rStyle w:val="InternetLink"/>
                  <w:rFonts w:ascii="Times New Roman" w:hAnsi="Times New Roman"/>
                  <w:sz w:val="20"/>
                </w:rPr>
                <w:t>June 22, 2026</w:t>
              </w:r>
            </w:hyperlink>
            <w:r>
              <w:rPr>
                <w:rFonts w:ascii="Times New Roman" w:hAnsi="Times New Roman"/>
                <w:sz w:val="20"/>
              </w:rPr>
              <w:t xml:space="preserve">, </w:t>
            </w:r>
            <w:hyperlink r:id="rId33">
              <w:r>
                <w:rPr>
                  <w:rStyle w:val="InternetLink"/>
                  <w:rFonts w:ascii="Times New Roman" w:hAnsi="Times New Roman"/>
                  <w:sz w:val="20"/>
                </w:rPr>
                <w:t>June 25, 2026</w:t>
              </w:r>
            </w:hyperlink>
            <w:r>
              <w:rPr>
                <w:rFonts w:ascii="Times New Roman" w:hAnsi="Times New Roman"/>
                <w:sz w:val="20"/>
              </w:rPr>
              <w:t xml:space="preserve">, </w:t>
            </w:r>
            <w:hyperlink r:id="rId34">
              <w:r>
                <w:rPr>
                  <w:rStyle w:val="InternetLink"/>
                  <w:rFonts w:ascii="Times New Roman" w:hAnsi="Times New Roman"/>
                  <w:sz w:val="20"/>
                </w:rPr>
                <w:t>July  1, 2026</w:t>
              </w:r>
            </w:hyperlink>
            <w:r>
              <w:rPr>
                <w:rFonts w:ascii="Times New Roman" w:hAnsi="Times New Roman"/>
                <w:sz w:val="20"/>
              </w:rPr>
              <w:t xml:space="preserve">, </w:t>
            </w:r>
            <w:hyperlink r:id="rId35">
              <w:r>
                <w:rPr>
                  <w:rStyle w:val="InternetLink"/>
                  <w:rFonts w:ascii="Times New Roman" w:hAnsi="Times New Roman"/>
                  <w:sz w:val="20"/>
                </w:rPr>
                <w:t>July  14, 2026</w:t>
              </w:r>
            </w:hyperlink>
            <w:r>
              <w:rPr>
                <w:rFonts w:ascii="Times New Roman" w:hAnsi="Times New Roman"/>
                <w:sz w:val="20"/>
              </w:rPr>
              <w:t xml:space="preserve">, </w:t>
            </w:r>
            <w:hyperlink r:id="rId36">
              <w:r>
                <w:rPr>
                  <w:rStyle w:val="InternetLink"/>
                  <w:rFonts w:ascii="Times New Roman" w:hAnsi="Times New Roman"/>
                  <w:sz w:val="20"/>
                </w:rPr>
                <w:t>August  19, 2026</w:t>
              </w:r>
            </w:hyperlink>
            <w:r>
              <w:rPr>
                <w:rFonts w:ascii="Times New Roman" w:hAnsi="Times New Roman"/>
                <w:sz w:val="20"/>
              </w:rPr>
              <w:t xml:space="preserve">, </w:t>
            </w:r>
            <w:hyperlink r:id="rId37">
              <w:r>
                <w:rPr>
                  <w:rStyle w:val="InternetLink"/>
                  <w:rFonts w:ascii="Times New Roman" w:hAnsi="Times New Roman"/>
                  <w:sz w:val="20"/>
                </w:rPr>
                <w:t>September  4, 2026</w:t>
              </w:r>
            </w:hyperlink>
            <w:r>
              <w:rPr>
                <w:rFonts w:ascii="Times New Roman" w:hAnsi="Times New Roman"/>
                <w:sz w:val="20"/>
              </w:rPr>
              <w:t xml:space="preserve">, </w:t>
            </w:r>
            <w:hyperlink r:id="rId38">
              <w:r>
                <w:rPr>
                  <w:rStyle w:val="InternetLink"/>
                  <w:rFonts w:ascii="Times New Roman" w:hAnsi="Times New Roman"/>
                  <w:sz w:val="20"/>
                </w:rPr>
                <w:t>September 15, 2026</w:t>
              </w:r>
            </w:hyperlink>
            <w:r>
              <w:rPr>
                <w:rFonts w:ascii="Times New Roman" w:hAnsi="Times New Roman"/>
                <w:sz w:val="20"/>
              </w:rPr>
              <w:t xml:space="preserve"> (SEC Accession No.  0001193125-26-391415), </w:t>
            </w:r>
            <w:hyperlink r:id="rId39">
              <w:r>
                <w:rPr>
                  <w:rStyle w:val="InternetLink"/>
                  <w:rFonts w:ascii="Times New Roman" w:hAnsi="Times New Roman"/>
                  <w:sz w:val="20"/>
                </w:rPr>
                <w:t>September 15, 2026</w:t>
              </w:r>
            </w:hyperlink>
            <w:r>
              <w:rPr>
                <w:rFonts w:ascii="Times New Roman" w:hAnsi="Times New Roman"/>
                <w:sz w:val="20"/>
              </w:rPr>
              <w:t xml:space="preserve"> (SEC Accession No. 0001193125-26-391682), </w:t>
            </w:r>
            <w:hyperlink r:id="rId40">
              <w:r>
                <w:rPr>
                  <w:rStyle w:val="InternetLink"/>
                  <w:rFonts w:ascii="Times New Roman" w:hAnsi="Times New Roman"/>
                  <w:sz w:val="20"/>
                </w:rPr>
                <w:t>September  21, 2026</w:t>
              </w:r>
            </w:hyperlink>
            <w:r>
              <w:rPr>
                <w:rFonts w:ascii="Times New Roman" w:hAnsi="Times New Roman"/>
                <w:sz w:val="20"/>
              </w:rPr>
              <w:t xml:space="preserve">, </w:t>
            </w:r>
            <w:hyperlink r:id="rId41">
              <w:r>
                <w:rPr>
                  <w:rStyle w:val="InternetLink"/>
                  <w:rFonts w:ascii="Times New Roman" w:hAnsi="Times New Roman"/>
                  <w:sz w:val="20"/>
                </w:rPr>
                <w:t>September  24, 2026</w:t>
              </w:r>
            </w:hyperlink>
            <w:r>
              <w:rPr>
                <w:rFonts w:ascii="Times New Roman" w:hAnsi="Times New Roman"/>
                <w:sz w:val="20"/>
              </w:rPr>
              <w:t xml:space="preserve">, </w:t>
            </w:r>
            <w:hyperlink r:id="rId42">
              <w:r>
                <w:rPr>
                  <w:rStyle w:val="InternetLink"/>
                  <w:rFonts w:ascii="Times New Roman" w:hAnsi="Times New Roman"/>
                  <w:sz w:val="20"/>
                </w:rPr>
                <w:t>September  25, 2026</w:t>
              </w:r>
            </w:hyperlink>
            <w:r>
              <w:rPr>
                <w:rFonts w:ascii="Times New Roman" w:hAnsi="Times New Roman"/>
                <w:sz w:val="20"/>
              </w:rPr>
              <w:t xml:space="preserve">, </w:t>
            </w:r>
            <w:hyperlink r:id="rId43">
              <w:r>
                <w:rPr>
                  <w:rStyle w:val="InternetLink"/>
                  <w:rFonts w:ascii="Times New Roman" w:hAnsi="Times New Roman"/>
                  <w:sz w:val="20"/>
                </w:rPr>
                <w:t>September  28, 2026</w:t>
              </w:r>
            </w:hyperlink>
            <w:r>
              <w:rPr>
                <w:rFonts w:ascii="Times New Roman" w:hAnsi="Times New Roman"/>
                <w:sz w:val="20"/>
              </w:rPr>
              <w:t xml:space="preserve">, and </w:t>
            </w:r>
            <w:hyperlink r:id="rId44">
              <w:r>
                <w:rPr>
                  <w:rStyle w:val="InternetLink"/>
                  <w:rFonts w:ascii="Times New Roman" w:hAnsi="Times New Roman"/>
                  <w:sz w:val="20"/>
                </w:rPr>
                <w:t>October  5, 2026</w:t>
              </w:r>
            </w:hyperlink>
            <w:r>
              <w:rPr>
                <w:rFonts w:ascii="Times New Roman" w:hAnsi="Times New Roman"/>
                <w:sz w:val="20"/>
              </w:rPr>
              <w:t xml:space="preserve">, and on Form 8-K/A filed on </w:t>
            </w:r>
            <w:hyperlink r:id="rId45">
              <w:r>
                <w:rPr>
                  <w:rStyle w:val="InternetLink"/>
                  <w:rFonts w:ascii="Times New Roman" w:hAnsi="Times New Roman"/>
                  <w:sz w:val="20"/>
                </w:rPr>
                <w:t>January  12, 2026</w:t>
              </w:r>
            </w:hyperlink>
            <w:r>
              <w:rPr>
                <w:rFonts w:ascii="Times New Roman" w:hAnsi="Times New Roman"/>
                <w:sz w:val="20"/>
              </w:rPr>
              <w:t xml:space="preserve"> and </w:t>
            </w:r>
            <w:hyperlink r:id="rId46">
              <w:r>
                <w:rPr>
                  <w:rStyle w:val="InternetLink"/>
                  <w:rFonts w:ascii="Times New Roman" w:hAnsi="Times New Roman"/>
                  <w:sz w:val="20"/>
                </w:rPr>
                <w:t>June 22, 2026</w:t>
              </w:r>
            </w:hyperlink>
            <w:r>
              <w:rPr>
                <w:rFonts w:ascii="Times New Roman" w:hAnsi="Times New Roman"/>
                <w:sz w:val="20"/>
              </w:rPr>
              <w:t xml:space="preserve"> (other than information furnished under Item 2.02 or Item 7.01 of Form 8-K and exhibits relating to such information, which is neither filed nor incorporated by reference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filed as Exhibit 4.26 to our Annual Report on </w:t>
            </w:r>
            <w:hyperlink r:id="rId47">
              <w:r>
                <w:rPr>
                  <w:rStyle w:val="InternetLink"/>
                  <w:rFonts w:ascii="Times New Roman" w:hAnsi="Times New Roman"/>
                  <w:sz w:val="20"/>
                </w:rPr>
                <w:t>Form 10-K</w:t>
              </w:r>
            </w:hyperlink>
            <w:r>
              <w:rPr>
                <w:rFonts w:ascii="Times New Roman" w:hAnsi="Times New Roman"/>
                <w:sz w:val="20"/>
              </w:rPr>
              <w:t xml:space="preserve"> for the fiscal year ended December 31, 2019 filed on April 3, 2020,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Unless otherwise noted, the SEC file number for each of the documents listed above is 001-36714.</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that the Company files pursuant to Sections 13(a), 13(c), 14 and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except as to any document or portion of any document that is deemed furnished and not filed.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You may request, orally or in writing, a copy of any or all of the documents incorporated herein by reference. These documents will be provided to you at no cost, by contacting: Investor Relations, Jaguar Health, Inc., 200 Pine Street, Suite 400, San Francisco, CA, 94104 or call (415) 371-8300.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981450" cy="10490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8"/>
                    <a:stretch>
                      <a:fillRect/>
                    </a:stretch>
                  </pic:blipFill>
                  <pic:spPr bwMode="auto">
                    <a:xfrm>
                      <a:off x="0" y="0"/>
                      <a:ext cx="3981450" cy="104902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32"/>
        </w:rPr>
      </w:pPr>
      <w:r>
        <w:rPr>
          <w:rFonts w:ascii="Times New Roman" w:hAnsi="Times New Roman"/>
          <w:b/>
          <w:sz w:val="32"/>
        </w:rPr>
        <w:t>$75,000,000</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92"/>
        <w:gridCol w:w="533"/>
        <w:gridCol w:w="140"/>
        <w:gridCol w:w="1016"/>
        <w:gridCol w:w="358"/>
      </w:tblGrid>
      <w:tr>
        <w:trPr/>
        <w:tc>
          <w:tcPr>
            <w:tcW w:w="4892"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4892"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156" w:type="dxa"/>
            <w:gridSpan w:val="2"/>
            <w:tcBorders/>
            <w:vAlign w:val="bottom"/>
          </w:tcPr>
          <w:p>
            <w:pPr>
              <w:pStyle w:val="TableContents"/>
              <w:bidi w:val="0"/>
              <w:spacing w:before="0" w:after="283"/>
              <w:jc w:val="center"/>
              <w:rPr>
                <w:b/>
              </w:rPr>
            </w:pPr>
            <w:r>
              <w:rPr>
                <w:b/>
              </w:rPr>
              <w:t>Amount</w:t>
            </w:r>
          </w:p>
        </w:tc>
        <w:tc>
          <w:tcPr>
            <w:tcW w:w="358" w:type="dxa"/>
            <w:tcBorders/>
            <w:vAlign w:val="bottom"/>
          </w:tcPr>
          <w:p>
            <w:pPr>
              <w:pStyle w:val="TableContents"/>
              <w:bidi w:val="0"/>
              <w:spacing w:before="0" w:after="283"/>
              <w:jc w:val="left"/>
              <w:rPr/>
            </w:pPr>
            <w:r>
              <w:rPr/>
              <w:t> </w:t>
            </w:r>
          </w:p>
        </w:tc>
      </w:tr>
      <w:tr>
        <w:trPr/>
        <w:tc>
          <w:tcPr>
            <w:tcW w:w="4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9,043.48</w:t>
            </w:r>
          </w:p>
        </w:tc>
        <w:tc>
          <w:tcPr>
            <w:tcW w:w="358" w:type="dxa"/>
            <w:tcBorders/>
            <w:shd w:fill="CCEEFF" w:val="clear"/>
            <w:vAlign w:val="bottom"/>
          </w:tcPr>
          <w:p>
            <w:pPr>
              <w:pStyle w:val="TableContents"/>
              <w:bidi w:val="0"/>
              <w:spacing w:before="0" w:after="283"/>
              <w:jc w:val="left"/>
              <w:rPr/>
            </w:pPr>
            <w:r>
              <w:rPr/>
              <w:t>(1) </w:t>
            </w:r>
          </w:p>
        </w:tc>
      </w:tr>
      <w:tr>
        <w:trPr/>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5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11,750.00</w:t>
            </w:r>
          </w:p>
        </w:tc>
        <w:tc>
          <w:tcPr>
            <w:tcW w:w="358" w:type="dxa"/>
            <w:tcBorders/>
            <w:vAlign w:val="bottom"/>
          </w:tcPr>
          <w:p>
            <w:pPr>
              <w:pStyle w:val="TableContents"/>
              <w:bidi w:val="0"/>
              <w:spacing w:before="0" w:after="283"/>
              <w:jc w:val="left"/>
              <w:rPr/>
            </w:pPr>
            <w:r>
              <w:rPr/>
              <w:t> </w:t>
            </w:r>
          </w:p>
        </w:tc>
      </w:tr>
      <w:tr>
        <w:trPr/>
        <w:tc>
          <w:tcPr>
            <w:tcW w:w="4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w:t>
            </w:r>
          </w:p>
        </w:tc>
        <w:tc>
          <w:tcPr>
            <w:tcW w:w="358" w:type="dxa"/>
            <w:tcBorders/>
            <w:shd w:fill="CCEEFF" w:val="clear"/>
            <w:vAlign w:val="bottom"/>
          </w:tcPr>
          <w:p>
            <w:pPr>
              <w:pStyle w:val="TableContents"/>
              <w:bidi w:val="0"/>
              <w:spacing w:before="0" w:after="283"/>
              <w:jc w:val="left"/>
              <w:rPr/>
            </w:pPr>
            <w:r>
              <w:rPr/>
              <w:t> </w:t>
            </w:r>
          </w:p>
        </w:tc>
      </w:tr>
      <w:tr>
        <w:trPr/>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w:t>
            </w:r>
          </w:p>
        </w:tc>
        <w:tc>
          <w:tcPr>
            <w:tcW w:w="358" w:type="dxa"/>
            <w:tcBorders/>
            <w:vAlign w:val="bottom"/>
          </w:tcPr>
          <w:p>
            <w:pPr>
              <w:pStyle w:val="TableContents"/>
              <w:bidi w:val="0"/>
              <w:spacing w:before="0" w:after="283"/>
              <w:jc w:val="left"/>
              <w:rPr/>
            </w:pPr>
            <w:r>
              <w:rPr/>
              <w:t> </w:t>
            </w:r>
          </w:p>
        </w:tc>
      </w:tr>
      <w:tr>
        <w:trPr/>
        <w:tc>
          <w:tcPr>
            <w:tcW w:w="4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fees and expenses</w:t>
            </w:r>
          </w:p>
        </w:tc>
        <w:tc>
          <w:tcPr>
            <w:tcW w:w="5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w:t>
            </w:r>
          </w:p>
        </w:tc>
        <w:tc>
          <w:tcPr>
            <w:tcW w:w="358" w:type="dxa"/>
            <w:tcBorders/>
            <w:shd w:fill="CCEEFF" w:val="clear"/>
            <w:vAlign w:val="bottom"/>
          </w:tcPr>
          <w:p>
            <w:pPr>
              <w:pStyle w:val="TableContents"/>
              <w:bidi w:val="0"/>
              <w:spacing w:before="0" w:after="283"/>
              <w:jc w:val="left"/>
              <w:rPr/>
            </w:pPr>
            <w:r>
              <w:rPr/>
              <w:t> </w:t>
            </w:r>
          </w:p>
        </w:tc>
      </w:tr>
      <w:tr>
        <w:trPr/>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5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w:t>
            </w:r>
          </w:p>
        </w:tc>
        <w:tc>
          <w:tcPr>
            <w:tcW w:w="358" w:type="dxa"/>
            <w:tcBorders/>
            <w:vAlign w:val="bottom"/>
          </w:tcPr>
          <w:p>
            <w:pPr>
              <w:pStyle w:val="TableContents"/>
              <w:bidi w:val="0"/>
              <w:spacing w:before="0" w:after="283"/>
              <w:jc w:val="left"/>
              <w:rPr/>
            </w:pPr>
            <w:r>
              <w:rPr/>
              <w:t> </w:t>
            </w:r>
          </w:p>
        </w:tc>
      </w:tr>
      <w:tr>
        <w:trPr/>
        <w:tc>
          <w:tcPr>
            <w:tcW w:w="4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5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w:t>
            </w:r>
          </w:p>
        </w:tc>
        <w:tc>
          <w:tcPr>
            <w:tcW w:w="358" w:type="dxa"/>
            <w:tcBorders/>
            <w:shd w:fill="CCEEFF" w:val="clear"/>
            <w:vAlign w:val="bottom"/>
          </w:tcPr>
          <w:p>
            <w:pPr>
              <w:pStyle w:val="TableContents"/>
              <w:bidi w:val="0"/>
              <w:spacing w:before="0" w:after="283"/>
              <w:jc w:val="left"/>
              <w:rPr/>
            </w:pPr>
            <w:r>
              <w:rPr/>
              <w:t> </w:t>
            </w:r>
          </w:p>
        </w:tc>
      </w:tr>
      <w:tr>
        <w:trPr/>
        <w:tc>
          <w:tcPr>
            <w:tcW w:w="4892"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5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w:t>
            </w:r>
          </w:p>
        </w:tc>
        <w:tc>
          <w:tcPr>
            <w:tcW w:w="3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Rule 415(a)(6) under the Securities Act, includes certain fees previously paid in respect of Unsold Securities previously registered under the Prior Registration Statement, as further described in the Filing Fee Table included as Exhibit 107 hereto.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102(b)(7) of the DGCL authorizes a corporation to include in its certificate of incorporation a provision eliminating or limiting the personal liability of directors and officers to the corporation or its stockholders for monetary damages for breach of fiduciary duty as a director or officer, as applicable, except for liabilities arising (i) from any breach of the director’s or officer’s duty of loyalty to the corporation or its stockholders, (ii) from acts or omissions not in good faith or which involve intentional misconduct or a knowingly violating a law, (iii) from any transaction from which the director or officer derived an improper personal benefit, (iv) with respect to a director, from paying an unlawful dividend or approving an unlawful stock repurchase or redemption under DGCL Section 174 or (v) with respect to an officer, from any action by or in the right of the corporation. In addition, equitable remedies for breach of fiduciary duty of care, such as injunction or rescission, are available. Our current certificate of incorporation eliminates the personal liability of the members of our board of directors to the fullest extent permitted by the DGCL. Our current certificate of incorporation does not eliminate the personal liability of our officers for monetary damages for any breach of fiduciary duty as an officer. Any repeal or modification of that provision by the stockholders of the corporation will not adversely affect any right or protection of a director of the corporation existing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further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w:t>
      </w:r>
    </w:p>
    <w:p>
      <w:pPr>
        <w:pStyle w:val="TextBody"/>
        <w:bidi w:val="0"/>
        <w:spacing w:before="240" w:after="0"/>
        <w:jc w:val="left"/>
        <w:rPr>
          <w:rFonts w:ascii="Times New Roman" w:hAnsi="Times New Roman"/>
          <w:sz w:val="20"/>
        </w:rPr>
      </w:pPr>
      <w:r>
        <w:rPr>
          <w:rFonts w:ascii="Times New Roman" w:hAnsi="Times New Roman"/>
          <w:sz w:val="20"/>
        </w:rPr>
        <w:t xml:space="preserve">Our current certificate of incorporation and bylaws provide for indemnification of our officers and directors to the fullest extent permitted by the DGCL. Our current bylaws provide for advancement of litigation expenses of our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officers, pursuant to which we agreed, to the maximum extent permitted by applicable law and subject to the specified terms and conditions set forth in each agreement, to indemnify a director or officer who acts on our behalf and is made or threatened to 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t>
      </w:r>
    </w:p>
    <w:p>
      <w:pPr>
        <w:pStyle w:val="TextBody"/>
        <w:bidi w:val="0"/>
        <w:spacing w:before="240" w:after="0"/>
        <w:jc w:val="left"/>
        <w:rPr>
          <w:rFonts w:ascii="Times New Roman" w:hAnsi="Times New Roman"/>
          <w:sz w:val="20"/>
        </w:rPr>
      </w:pPr>
      <w:r>
        <w:rPr>
          <w:rFonts w:ascii="Times New Roman" w:hAnsi="Times New Roman"/>
          <w:sz w:val="20"/>
        </w:rPr>
        <w:t xml:space="preserve">We have purchased and maintain insurance on behalf of our officers and directors that provides coverage for expenses and liabilities incurred by them in their capacities as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9"/>
        <w:gridCol w:w="516"/>
        <w:gridCol w:w="8910"/>
      </w:tblGrid>
      <w:tr>
        <w:trPr/>
        <w:tc>
          <w:tcPr>
            <w:tcW w:w="779" w:type="dxa"/>
            <w:tcBorders/>
            <w:vAlign w:val="center"/>
          </w:tcPr>
          <w:p>
            <w:pPr>
              <w:pStyle w:val="TableContents"/>
              <w:bidi w:val="0"/>
              <w:spacing w:before="0" w:after="283"/>
              <w:jc w:val="left"/>
              <w:rPr>
                <w:sz w:val="4"/>
                <w:szCs w:val="4"/>
              </w:rPr>
            </w:pPr>
            <w:r>
              <w:rPr>
                <w:sz w:val="4"/>
                <w:szCs w:val="4"/>
              </w:rPr>
            </w:r>
          </w:p>
        </w:tc>
        <w:tc>
          <w:tcPr>
            <w:tcW w:w="516" w:type="dxa"/>
            <w:tcBorders/>
            <w:vAlign w:val="bottom"/>
          </w:tcPr>
          <w:p>
            <w:pPr>
              <w:pStyle w:val="TableContents"/>
              <w:bidi w:val="0"/>
              <w:spacing w:before="0" w:after="283"/>
              <w:jc w:val="left"/>
              <w:rPr>
                <w:sz w:val="4"/>
                <w:szCs w:val="4"/>
              </w:rPr>
            </w:pPr>
            <w:r>
              <w:rPr>
                <w:sz w:val="4"/>
                <w:szCs w:val="4"/>
              </w:rPr>
            </w:r>
          </w:p>
        </w:tc>
        <w:tc>
          <w:tcPr>
            <w:tcW w:w="8910"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16" w:type="dxa"/>
            <w:tcBorders/>
            <w:vAlign w:val="bottom"/>
          </w:tcPr>
          <w:p>
            <w:pPr>
              <w:pStyle w:val="TableContents"/>
              <w:bidi w:val="0"/>
              <w:spacing w:before="0" w:after="283"/>
              <w:jc w:val="left"/>
              <w:rPr/>
            </w:pPr>
            <w:r>
              <w:rPr/>
              <w:t>  </w:t>
            </w:r>
          </w:p>
        </w:tc>
        <w:tc>
          <w:tcPr>
            <w:tcW w:w="89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1.1*</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r>
              <w:rPr/>
              <w:t>Form of Underwriting Agreement.</w:t>
            </w:r>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3.1</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49">
              <w:r>
                <w:rPr>
                  <w:rStyle w:val="InternetLink"/>
                </w:rPr>
                <w:t xml:space="preserve">Third Amended and Restated Certificate of Incorporation (incorporated by reference to Exhibit 3.1 to the Current Report on Form 8 K (No. 001-36714) filed with the Securities and Exchange Commission on August 1, 2017).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3.2</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50">
              <w:r>
                <w:rPr>
                  <w:rStyle w:val="InternetLink"/>
                </w:rPr>
                <w:t xml:space="preserve">Certificate of Amendment of the Third Amended and Restated Certificate of Incorporation (incorporated by reference to Exhibit 3.2 to the Annual Report on Form 10-K filed with the Securities and Exchange Commission on April 9, 2018).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3.3</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51">
              <w:r>
                <w:rPr>
                  <w:rStyle w:val="InternetLink"/>
                </w:rPr>
                <w:t xml:space="preserve">Certificate of Second Amendment of the Third Amended and Restated Certificate of Incorporation (incorporated by reference to Exhibit 3.1 to the Current Report on Form 8-K filed with the Securities and Exchange Commission on June 1, 2018).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3.4</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52">
              <w:r>
                <w:rPr>
                  <w:rStyle w:val="InternetLink"/>
                </w:rPr>
                <w:t xml:space="preserve">Certificate of Third Amendment of the Third Amended and Restated Certificate of Incorporation (incorporated by reference to Exhibit 3.2 to the Current Report on Form 8-K filed with the Securities and Exchange Commission on June 1, 2018).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3.5</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53">
              <w:r>
                <w:rPr>
                  <w:rStyle w:val="InternetLink"/>
                </w:rPr>
                <w:t xml:space="preserve">Certificate of Fifth Amendment of the Third Amended and Restated Certificate of Incorporation (incorporated by reference to Exhibit 3.1 to the Current Report on Form 8-K filed with the Securities and Exchange Commission on June 6, 2019).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3.6</w:t>
            </w:r>
          </w:p>
        </w:tc>
        <w:tc>
          <w:tcPr>
            <w:tcW w:w="516" w:type="dxa"/>
            <w:tcBorders/>
            <w:vAlign w:val="bottom"/>
          </w:tcPr>
          <w:p>
            <w:pPr>
              <w:pStyle w:val="TableContents"/>
              <w:bidi w:val="0"/>
              <w:spacing w:before="0" w:after="283"/>
              <w:jc w:val="left"/>
              <w:rPr/>
            </w:pPr>
            <w:r>
              <w:rPr/>
              <w:t>  </w:t>
            </w:r>
          </w:p>
        </w:tc>
        <w:tc>
          <w:tcPr>
            <w:tcW w:w="8910" w:type="dxa"/>
            <w:tcBorders/>
          </w:tcPr>
          <w:p>
            <w:pPr>
              <w:pStyle w:val="TableContents"/>
              <w:bidi w:val="0"/>
              <w:spacing w:before="0" w:after="283"/>
              <w:jc w:val="left"/>
              <w:rPr/>
            </w:pPr>
            <w:hyperlink r:id="rId54">
              <w:r>
                <w:rPr>
                  <w:rStyle w:val="InternetLink"/>
                </w:rPr>
                <w:t xml:space="preserve">Amended and Restated Bylaws (incorporated by reference to Exhibit 3.2 to the Current Report on Form 8 K (No. 001 36714) filed with the Securities and Exchange Commission on May 18, 2015).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92"/>
        <w:gridCol w:w="420"/>
        <w:gridCol w:w="8993"/>
      </w:tblGrid>
      <w:tr>
        <w:trPr/>
        <w:tc>
          <w:tcPr>
            <w:tcW w:w="792"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8993" w:type="dxa"/>
            <w:tcBorders/>
            <w:vAlign w:val="center"/>
          </w:tcPr>
          <w:p>
            <w:pPr>
              <w:pStyle w:val="TableContents"/>
              <w:bidi w:val="0"/>
              <w:spacing w:before="0" w:after="283"/>
              <w:jc w:val="left"/>
              <w:rPr>
                <w:sz w:val="4"/>
                <w:szCs w:val="4"/>
              </w:rPr>
            </w:pPr>
            <w:r>
              <w:rPr>
                <w:sz w:val="4"/>
                <w:szCs w:val="4"/>
              </w:rPr>
            </w:r>
          </w:p>
        </w:tc>
      </w:tr>
      <w:tr>
        <w:trPr/>
        <w:tc>
          <w:tcPr>
            <w:tcW w:w="79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20" w:type="dxa"/>
            <w:tcBorders/>
            <w:vAlign w:val="bottom"/>
          </w:tcPr>
          <w:p>
            <w:pPr>
              <w:pStyle w:val="TableContents"/>
              <w:bidi w:val="0"/>
              <w:spacing w:before="0" w:after="283"/>
              <w:jc w:val="left"/>
              <w:rPr/>
            </w:pPr>
            <w:r>
              <w:rPr/>
              <w:t>  </w:t>
            </w:r>
          </w:p>
        </w:tc>
        <w:tc>
          <w:tcPr>
            <w:tcW w:w="89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3.7</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55">
              <w:r>
                <w:rPr>
                  <w:rStyle w:val="InternetLink"/>
                </w:rPr>
                <w:t xml:space="preserve">Certificate of Designation of Series C Perpetual Preferred Stock (incorporated by reference to Exhibit  3.1 to the Current Report on Form 8-K (No. 001-036714) filed with the Securities and Exchange Commission on September 2, 2020).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3.8</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56">
              <w:r>
                <w:rPr>
                  <w:rStyle w:val="InternetLink"/>
                </w:rPr>
                <w:t xml:space="preserve">Certificate of Designation of Series D Perpetual Preferred Stock (incorporated by reference to Exhibit  3.2 to the Current Report on Form 8-K (No. 001-036714) filed with the Securities and Exchange Commission on September 2, 2020).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3.9</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57">
              <w:r>
                <w:rPr>
                  <w:rStyle w:val="InternetLink"/>
                </w:rPr>
                <w:t xml:space="preserve">Certificate of Retirement of Series A Convertible Participating Preferred Stock, Series B Convertible Preferred Stock and Series B-1 Convertible Preferred Stock of Jaguar Health, Inc. (incorporated by reference to Exhibit 3.1 to the Current Report on Form 8-K (No. 001-036714) filed with the Securities and Exchange Commission on September 9, 2020).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3.10</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58">
              <w:r>
                <w:rPr>
                  <w:rStyle w:val="InternetLink"/>
                </w:rPr>
                <w:t>Corrected Certificate of Amendment of the Third Amended and Restated Certificate of Incorporation (incorporated by reference to Exhibit 3.1 to the Form 8-K of Jaguar Health, Inc. filed December 10, 2020,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3.11</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59">
              <w:r>
                <w:rPr>
                  <w:rStyle w:val="InternetLink"/>
                </w:rPr>
                <w:t>Certificate of Fifth Amendment of the Third Amended and Restated Certificate of Incorporation of Jaguar Health, Inc. (incorporated by reference to Exhibit 3.1 to the Form 8-K of Jaguar Health, Inc. filed September 3, 2021,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3.12</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0">
              <w:r>
                <w:rPr>
                  <w:rStyle w:val="InternetLink"/>
                </w:rPr>
                <w:t xml:space="preserve">First Amendment to the Amended and Restated Bylaws, dated March 17, 2022. (incorporated by reference to Exhibit 3.1 to the Form 8-K of Jaguar Health, Inc. filed March 18, 2022,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3.13</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1">
              <w:r>
                <w:rPr>
                  <w:rStyle w:val="InternetLink"/>
                </w:rPr>
                <w:t>Certificate of Designation of Series E Preferred Stock. (incorporated by reference to Exhibit 3.1 to the Form 8-K of Jaguar Health, Inc. filed August 23, 2022,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3.14</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2">
              <w:r>
                <w:rPr>
                  <w:rStyle w:val="InternetLink"/>
                </w:rPr>
                <w:t>Certificate of Sixth Amendment of the Third Amended and Restated Certificate of Incorporation of Jaguar Health, Inc. (incorporated by reference to Exhibit 3.1 to the Form 8-K of Jaguar Health, Inc. filed September 30, 2022,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3.15</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3">
              <w:r>
                <w:rPr>
                  <w:rStyle w:val="InternetLink"/>
                </w:rPr>
                <w:t>Certificate of Designation of Series F Preferred Stock. (incorporated by reference to Exhibit 3.1 to the Form 8-K of Jaguar Health, Inc. filed November 16, 2022,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3.16</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4">
              <w:r>
                <w:rPr>
                  <w:rStyle w:val="InternetLink"/>
                </w:rPr>
                <w:t>Certificate of Seventh Amendment of the Third Amended and Restated Certificate of Incorporation of Jaguar Health, Inc. (incorporated by reference to Exhibit 3.1 to the Form 8-K of Jaguar Health, Inc. filed January 23, 2023,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3.17</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5">
              <w:r>
                <w:rPr>
                  <w:rStyle w:val="InternetLink"/>
                </w:rPr>
                <w:t>Certificate of Designation of Series G Convertible Preferred Stock. (incorporated by reference to Exhibit 3.1 to the Form 8-K of Jaguar Health, Inc. filed May 9, 2023,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3.18</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6">
              <w:r>
                <w:rPr>
                  <w:rStyle w:val="InternetLink"/>
                </w:rPr>
                <w:t>Certificate of Designation of Series H Convertible Preferred Stock. (incorporated by reference to Exhibit 3.1 to the Form 8-K of Jaguar Health, Inc. filed July 3, 2023,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3.19</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7">
              <w:r>
                <w:rPr>
                  <w:rStyle w:val="InternetLink"/>
                </w:rPr>
                <w:t>Certificate of Designation of Series I Convertible Preferred Stock. (incorporated by reference to Exhibit 3.1 to the Form 8-K of Jaguar Health, Inc. filed October 5, 2023,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3.20</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8">
              <w:r>
                <w:rPr>
                  <w:rStyle w:val="InternetLink"/>
                </w:rPr>
                <w:t>Certificate of Designation of Series J Convertible Preferred Stock. (incorporated by reference to Exhibit 3.1 to the Form 8-K of Jaguar Health, Inc. filed March 1, 2024,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3.21</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69">
              <w:r>
                <w:rPr>
                  <w:rStyle w:val="InternetLink"/>
                </w:rPr>
                <w:t>Certificate of Eighth Amendment of the Third Amended and Restated Certificate of Incorporation of Jaguar Health, Inc. (incorporated by reference to Exhibit 3.1 to the Form 8-K of Jaguar Health, Inc. filed May 23, 2024,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3.22</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70">
              <w:r>
                <w:rPr>
                  <w:rStyle w:val="InternetLink"/>
                </w:rPr>
                <w:t>Certificate of Designation of Series K Junior Participating Preferred Stock. (incorporated by reference to Exhibit 3.1 to the Form 8-K of Jaguar Health, Inc. filed February 27, 2025, File No. 001-36714). </w:t>
              </w:r>
            </w:hyperlink>
          </w:p>
        </w:tc>
      </w:tr>
      <w:tr>
        <w:trPr>
          <w:trHeight w:val="120" w:hRule="atLeast"/>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tcPr>
          <w:p>
            <w:pPr>
              <w:pStyle w:val="TableContents"/>
              <w:bidi w:val="0"/>
              <w:spacing w:before="0" w:after="283"/>
              <w:jc w:val="left"/>
              <w:rPr/>
            </w:pPr>
            <w:r>
              <w:rPr/>
              <w:t> </w:t>
            </w:r>
            <w:r>
              <w:rPr/>
              <w:t>3.23</w:t>
            </w:r>
          </w:p>
        </w:tc>
        <w:tc>
          <w:tcPr>
            <w:tcW w:w="420" w:type="dxa"/>
            <w:tcBorders/>
            <w:vAlign w:val="bottom"/>
          </w:tcPr>
          <w:p>
            <w:pPr>
              <w:pStyle w:val="TableContents"/>
              <w:bidi w:val="0"/>
              <w:spacing w:before="0" w:after="283"/>
              <w:jc w:val="left"/>
              <w:rPr/>
            </w:pPr>
            <w:r>
              <w:rPr/>
              <w:t>  </w:t>
            </w:r>
          </w:p>
        </w:tc>
        <w:tc>
          <w:tcPr>
            <w:tcW w:w="8993" w:type="dxa"/>
            <w:tcBorders/>
          </w:tcPr>
          <w:p>
            <w:pPr>
              <w:pStyle w:val="TableContents"/>
              <w:bidi w:val="0"/>
              <w:spacing w:before="0" w:after="283"/>
              <w:jc w:val="left"/>
              <w:rPr/>
            </w:pPr>
            <w:hyperlink r:id="rId71">
              <w:r>
                <w:rPr>
                  <w:rStyle w:val="InternetLink"/>
                </w:rPr>
                <w:t>Certificate of Ninth Amendment of the Third Amended and Restated Certificate of Incorporation of Jaguar Health, Inc. (incorporated by reference to Exhibit 3.1 to the Form 8-K of Jaguar Health, Inc. filed March 18, 2025, File No. 001-36714).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70"/>
        <w:gridCol w:w="507"/>
        <w:gridCol w:w="8928"/>
      </w:tblGrid>
      <w:tr>
        <w:trPr/>
        <w:tc>
          <w:tcPr>
            <w:tcW w:w="770"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8928"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07" w:type="dxa"/>
            <w:tcBorders/>
            <w:vAlign w:val="bottom"/>
          </w:tcPr>
          <w:p>
            <w:pPr>
              <w:pStyle w:val="TableContents"/>
              <w:bidi w:val="0"/>
              <w:spacing w:before="0" w:after="283"/>
              <w:jc w:val="left"/>
              <w:rPr/>
            </w:pPr>
            <w:r>
              <w:rPr/>
              <w:t>  </w:t>
            </w:r>
          </w:p>
        </w:tc>
        <w:tc>
          <w:tcPr>
            <w:tcW w:w="89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3.24</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2">
              <w:r>
                <w:rPr>
                  <w:rStyle w:val="InternetLink"/>
                </w:rPr>
                <w:t>Certificate of Designation of Series L Perpetual Preferred Stock (incorporated by reference to Exhibit 3.1 to the Form 8-K of Jaguar Health, Inc. filed May 15, 2025,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3.25</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3">
              <w:r>
                <w:rPr>
                  <w:rStyle w:val="InternetLink"/>
                </w:rPr>
                <w:t>Certificate of Designation of Series M Perpetual Preferred Stock (incorporated by reference to Exhibit 3.1 to the Form 8-K of Jaguar Health, Inc. filed June 30, 2025,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3.26</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4">
              <w:r>
                <w:rPr>
                  <w:rStyle w:val="InternetLink"/>
                </w:rPr>
                <w:t>Certificate of Designation of Series N Perpetual Preferred Stock (incorporated by reference to Exhibit 3.1 to the Form 8-K of Jaguar Health, Inc. filed September 11, 2025,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3.27</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5">
              <w:r>
                <w:rPr>
                  <w:rStyle w:val="InternetLink"/>
                </w:rPr>
                <w:t xml:space="preserve">Certificate of Designation of Preferences, Rights and Limitations of Series O Convertible Preferred Stock of Jaguar Health, Inc. (incorporated by reference to Exhibit 3.1 to the Form 8-K filed March 3,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3.28</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6">
              <w:r>
                <w:rPr>
                  <w:rStyle w:val="InternetLink"/>
                </w:rPr>
                <w:t xml:space="preserve">Certificate of Tenth Amendment of the Third Amended and Restated Certificate of Incorporation of Jaguar Health, Inc. (incorporated by reference to Exhibit 3.1 to the Form 8-K filed April 21,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3.29</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7">
              <w:r>
                <w:rPr>
                  <w:rStyle w:val="InternetLink"/>
                </w:rPr>
                <w:t xml:space="preserve">Certificate of Eleventh Amendment of the Third Amended and Restated Certificate of Incorporation of Jaguar Health, Inc. (incorporated by reference to Exhibit 3.1 to the Form 8-K filed April 27,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3.30</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8">
              <w:r>
                <w:rPr>
                  <w:rStyle w:val="InternetLink"/>
                </w:rPr>
                <w:t xml:space="preserve">Certificate of Designation of Preferences, Rights and Limitations of Series Q Perpetual Preferred Stock (incorporated by reference to Exhibit 3.1 to the Form 8-K filed May 19,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3.31</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79">
              <w:r>
                <w:rPr>
                  <w:rStyle w:val="InternetLink"/>
                </w:rPr>
                <w:t xml:space="preserve">Certificate of Designation of Preferences, Rights and Limitations of Series P Non-Convertible Preferred Stock (incorporated by reference to Exhibit 3.1 to the Form 8-K filed June 11,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3.32</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80">
              <w:r>
                <w:rPr>
                  <w:rStyle w:val="InternetLink"/>
                </w:rPr>
                <w:t xml:space="preserve">Certificate of Twelfth Amendment of the Third Amended and Restated Certificate of Incorporation of Jaguar Health, Inc. (incorporated by reference to Exhibit 3.1 to the Form 8-K filed September 15,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3.33</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81">
              <w:r>
                <w:rPr>
                  <w:rStyle w:val="InternetLink"/>
                </w:rPr>
                <w:t xml:space="preserve">Certificate of Elimination of Series B-2 Convertible Preferred Stock, Series C Perpetual Preferred Stock, Series D Perpetual Preferred Stock, Series E Preferred Stock, Series F Preferred Stock, Series G Convertible Preferred Stock, Series H Convertible Preferred Stock, Series I Convertible Preferred Stock, Series J Perpetual Preferred Stock, Series K Junior Participating Preferred Stock, Series L Perpetual Preferred Stock, Series M Perpetual Preferred Stock, Series N Perpetual Preferred Stock, and Series O Convertible Preferred Stock of Jaguar Health, Inc. (incorporated by reference to Exhibit 3.1 to the Form 8-K filed September 21,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3.34</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82">
              <w:r>
                <w:rPr>
                  <w:rStyle w:val="InternetLink"/>
                </w:rPr>
                <w:t xml:space="preserve">Certificate of Designation of Preferences, Rights and Limitations of Series R Convertible Preferred Stock (incorporated by reference to Exhibit 3.1 to the Form 8-K filed October 5, 2026,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4.1</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r:id="rId83">
              <w:r>
                <w:rPr>
                  <w:rStyle w:val="InternetLink"/>
                </w:rPr>
                <w:t xml:space="preserve">Specimen Common Stock Certificate of Jaguar Health, Inc. (incorporated by reference to Exhibit 4.1 to the Form 8-K of Jaguar Health, Inc. filed June 1, 2018, File No. 001-36714).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4.2*</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Form of Warrant Agreement (together with form of Warrant Certificate).</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4.3*</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Form of Rights Agreement (together with form of Rights Certificate).</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5.1**</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w:anchor="d169519dex51.htm">
              <w:r>
                <w:rPr>
                  <w:rStyle w:val="InternetLink"/>
                </w:rPr>
                <w:t xml:space="preserve">Opinion of Reed Smith LLP as to validity of the securities being registered.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23.1**</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w:anchor="d169519dex231.htm">
              <w:r>
                <w:rPr>
                  <w:rStyle w:val="InternetLink"/>
                </w:rPr>
                <w:t xml:space="preserve">Consent of RBSM LLP, independent registered public accounting firm.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23.2**</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 xml:space="preserve">Consent of Reed Smith LLP (Included in </w:t>
            </w:r>
            <w:hyperlink w:anchor="d169519dex51.htm">
              <w:r>
                <w:rPr>
                  <w:rStyle w:val="InternetLink"/>
                </w:rPr>
                <w:t>Exhibit 5.1</w:t>
              </w:r>
            </w:hyperlink>
            <w:r>
              <w:rPr/>
              <w:t>).</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24.1**</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w:anchor="sig">
              <w:r>
                <w:rPr>
                  <w:rStyle w:val="InternetLink"/>
                </w:rPr>
                <w:t xml:space="preserve">Power of Attorney (included in the signature page).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107**</w:t>
            </w:r>
          </w:p>
        </w:tc>
        <w:tc>
          <w:tcPr>
            <w:tcW w:w="507"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hyperlink w:anchor="d169519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subsequently filed, if applicable, by an amendment to the Registration Statement or by a Current Report on Form 8-K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a.</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b.</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c.</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(1)(a), (1)(b) and (1)(c) above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2)</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3)</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4)</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a.</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registrant is relying on Rule 430B: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i.</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ii.</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283"/>
              <w:jc w:val="left"/>
              <w:rPr/>
            </w:pPr>
            <w:r>
              <w:rPr/>
              <w:t xml:space="preserve">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b.</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5)</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a.</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b.</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c.</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free writing prospectus relating to the offering containing material information about the registrant or its securities provided by or on behalf of the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283"/>
              <w:jc w:val="left"/>
              <w:rPr/>
            </w:pPr>
            <w:r>
              <w:rPr/>
              <w:t>d.</w:t>
            </w:r>
          </w:p>
        </w:tc>
        <w:tc>
          <w:tcPr>
            <w:tcW w:w="99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a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6)</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7)</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Francisco, State of California, on this 22nd day of October,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JAGUAR HEALTH,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Lisa A. Conte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Lisa A. Conte</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i/>
              </w:rPr>
            </w:pPr>
            <w:r>
              <w:rPr>
                <w:i/>
              </w:rPr>
              <w:t>Chief Executive Officer and President</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officers and directors of Jaguar Health, Inc., a Delaware corporation, hereby severally constitute and appoint Lisa A. Conte and/or Carol Lizak, our true and lawful attorney-in-fact and agents, with full power of substitution and resubstitution for her or him and in her or his name, place and stead, and in any and all capacities, to sign for us and in our names in the capacities indicated below any and all amendments (including post-effective amendments) to this registration statement (or any other registration statement for the same offering that is to be effective upon filing pursuant to Rule 462(b) under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as full to all intents and purposes as he might or could do in person, hereby ratifying and confirming all that said attorney-in-fact and agent, or her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1"/>
        <w:gridCol w:w="120"/>
        <w:gridCol w:w="4877"/>
        <w:gridCol w:w="199"/>
        <w:gridCol w:w="1978"/>
      </w:tblGrid>
      <w:tr>
        <w:trPr/>
        <w:tc>
          <w:tcPr>
            <w:tcW w:w="303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8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99" w:type="dxa"/>
            <w:tcBorders/>
            <w:vAlign w:val="bottom"/>
          </w:tcPr>
          <w:p>
            <w:pPr>
              <w:pStyle w:val="TableContents"/>
              <w:bidi w:val="0"/>
              <w:spacing w:before="0" w:after="283"/>
              <w:jc w:val="left"/>
              <w:rPr/>
            </w:pPr>
            <w:r>
              <w:rPr/>
              <w:t> </w:t>
            </w:r>
          </w:p>
        </w:tc>
        <w:tc>
          <w:tcPr>
            <w:tcW w:w="19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031" w:type="dxa"/>
            <w:tcBorders/>
            <w:vAlign w:val="center"/>
          </w:tcPr>
          <w:p>
            <w:pPr>
              <w:pStyle w:val="TableContents"/>
              <w:bidi w:val="0"/>
              <w:spacing w:before="0" w:after="283"/>
              <w:jc w:val="left"/>
              <w:rPr>
                <w:sz w:val="4"/>
                <w:szCs w:val="4"/>
              </w:rPr>
            </w:pPr>
            <w:r>
              <w:rPr>
                <w:sz w:val="4"/>
                <w:szCs w:val="4"/>
              </w:rPr>
            </w:r>
          </w:p>
        </w:tc>
        <w:tc>
          <w:tcPr>
            <w:tcW w:w="4997"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Lisa A. Conte</w:t>
            </w:r>
          </w:p>
          <w:p>
            <w:pPr>
              <w:pStyle w:val="TableContents"/>
              <w:bidi w:val="0"/>
              <w:spacing w:before="0" w:after="20"/>
              <w:jc w:val="center"/>
              <w:rPr>
                <w:rFonts w:ascii="Times New Roman" w:hAnsi="Times New Roman"/>
                <w:sz w:val="20"/>
              </w:rPr>
            </w:pPr>
            <w:r>
              <w:rPr>
                <w:rFonts w:ascii="Times New Roman" w:hAnsi="Times New Roman"/>
                <w:sz w:val="20"/>
              </w:rPr>
              <w:t>Lisa A. Conte</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President and Director (Principal Executive Officer)</w:t>
            </w:r>
          </w:p>
        </w:tc>
        <w:tc>
          <w:tcPr>
            <w:tcW w:w="199"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283"/>
              <w:jc w:val="center"/>
              <w:rPr/>
            </w:pPr>
            <w:r>
              <w:rPr/>
              <w:t>October 22, 2026</w:t>
            </w:r>
          </w:p>
        </w:tc>
      </w:tr>
      <w:tr>
        <w:trPr>
          <w:trHeight w:val="240" w:hRule="atLeast"/>
        </w:trPr>
        <w:tc>
          <w:tcPr>
            <w:tcW w:w="3031" w:type="dxa"/>
            <w:tcBorders/>
            <w:vAlign w:val="center"/>
          </w:tcPr>
          <w:p>
            <w:pPr>
              <w:pStyle w:val="TableContents"/>
              <w:bidi w:val="0"/>
              <w:spacing w:before="0" w:after="283"/>
              <w:jc w:val="left"/>
              <w:rPr>
                <w:sz w:val="4"/>
                <w:szCs w:val="4"/>
              </w:rPr>
            </w:pPr>
            <w:r>
              <w:rPr>
                <w:sz w:val="4"/>
                <w:szCs w:val="4"/>
              </w:rPr>
            </w:r>
          </w:p>
        </w:tc>
        <w:tc>
          <w:tcPr>
            <w:tcW w:w="4997"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Carol Lizak</w:t>
            </w:r>
          </w:p>
          <w:p>
            <w:pPr>
              <w:pStyle w:val="TableContents"/>
              <w:bidi w:val="0"/>
              <w:spacing w:before="0" w:after="20"/>
              <w:jc w:val="center"/>
              <w:rPr>
                <w:rFonts w:ascii="Times New Roman" w:hAnsi="Times New Roman"/>
                <w:sz w:val="20"/>
              </w:rPr>
            </w:pPr>
            <w:r>
              <w:rPr>
                <w:rFonts w:ascii="Times New Roman" w:hAnsi="Times New Roman"/>
                <w:sz w:val="20"/>
              </w:rPr>
              <w:t>Carol Lizak</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 and Treasurer (Principal Financial and Accounting Officer)</w:t>
            </w:r>
          </w:p>
        </w:tc>
        <w:tc>
          <w:tcPr>
            <w:tcW w:w="199"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283"/>
              <w:jc w:val="center"/>
              <w:rPr/>
            </w:pPr>
            <w:r>
              <w:rPr/>
              <w:t>October 22, 2026</w:t>
            </w:r>
          </w:p>
        </w:tc>
      </w:tr>
      <w:tr>
        <w:trPr>
          <w:trHeight w:val="240" w:hRule="atLeast"/>
        </w:trPr>
        <w:tc>
          <w:tcPr>
            <w:tcW w:w="3031" w:type="dxa"/>
            <w:tcBorders/>
            <w:vAlign w:val="center"/>
          </w:tcPr>
          <w:p>
            <w:pPr>
              <w:pStyle w:val="TableContents"/>
              <w:bidi w:val="0"/>
              <w:spacing w:before="0" w:after="283"/>
              <w:jc w:val="left"/>
              <w:rPr>
                <w:sz w:val="4"/>
                <w:szCs w:val="4"/>
              </w:rPr>
            </w:pPr>
            <w:r>
              <w:rPr>
                <w:sz w:val="4"/>
                <w:szCs w:val="4"/>
              </w:rPr>
            </w:r>
          </w:p>
        </w:tc>
        <w:tc>
          <w:tcPr>
            <w:tcW w:w="4997"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J. Bochnowski</w:t>
            </w:r>
          </w:p>
          <w:p>
            <w:pPr>
              <w:pStyle w:val="TableContents"/>
              <w:bidi w:val="0"/>
              <w:spacing w:before="0" w:after="20"/>
              <w:jc w:val="center"/>
              <w:rPr>
                <w:rFonts w:ascii="Times New Roman" w:hAnsi="Times New Roman"/>
                <w:sz w:val="20"/>
              </w:rPr>
            </w:pPr>
            <w:r>
              <w:rPr>
                <w:rFonts w:ascii="Times New Roman" w:hAnsi="Times New Roman"/>
                <w:sz w:val="20"/>
              </w:rPr>
              <w:t>James J. Bochnowski</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c>
          <w:tcPr>
            <w:tcW w:w="199"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283"/>
              <w:jc w:val="center"/>
              <w:rPr/>
            </w:pPr>
            <w:r>
              <w:rPr/>
              <w:t>October 22, 2026</w:t>
            </w:r>
          </w:p>
        </w:tc>
      </w:tr>
      <w:tr>
        <w:trPr>
          <w:trHeight w:val="240" w:hRule="atLeast"/>
        </w:trPr>
        <w:tc>
          <w:tcPr>
            <w:tcW w:w="3031" w:type="dxa"/>
            <w:tcBorders/>
            <w:vAlign w:val="center"/>
          </w:tcPr>
          <w:p>
            <w:pPr>
              <w:pStyle w:val="TableContents"/>
              <w:bidi w:val="0"/>
              <w:spacing w:before="0" w:after="283"/>
              <w:jc w:val="left"/>
              <w:rPr>
                <w:sz w:val="4"/>
                <w:szCs w:val="4"/>
              </w:rPr>
            </w:pPr>
            <w:r>
              <w:rPr>
                <w:sz w:val="4"/>
                <w:szCs w:val="4"/>
              </w:rPr>
            </w:r>
          </w:p>
        </w:tc>
        <w:tc>
          <w:tcPr>
            <w:tcW w:w="4997"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Micek III</w:t>
            </w:r>
          </w:p>
          <w:p>
            <w:pPr>
              <w:pStyle w:val="TableContents"/>
              <w:bidi w:val="0"/>
              <w:spacing w:before="0" w:after="20"/>
              <w:jc w:val="center"/>
              <w:rPr>
                <w:rFonts w:ascii="Times New Roman" w:hAnsi="Times New Roman"/>
                <w:sz w:val="20"/>
              </w:rPr>
            </w:pPr>
            <w:r>
              <w:rPr>
                <w:rFonts w:ascii="Times New Roman" w:hAnsi="Times New Roman"/>
                <w:sz w:val="20"/>
              </w:rPr>
              <w:t>John Micek III</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283"/>
              <w:jc w:val="center"/>
              <w:rPr/>
            </w:pPr>
            <w:r>
              <w:rPr/>
              <w:t>October 22, 2026</w:t>
            </w:r>
          </w:p>
        </w:tc>
      </w:tr>
      <w:tr>
        <w:trPr>
          <w:trHeight w:val="240" w:hRule="atLeast"/>
        </w:trPr>
        <w:tc>
          <w:tcPr>
            <w:tcW w:w="3031" w:type="dxa"/>
            <w:tcBorders/>
            <w:vAlign w:val="center"/>
          </w:tcPr>
          <w:p>
            <w:pPr>
              <w:pStyle w:val="TableContents"/>
              <w:bidi w:val="0"/>
              <w:spacing w:before="0" w:after="283"/>
              <w:jc w:val="left"/>
              <w:rPr>
                <w:sz w:val="4"/>
                <w:szCs w:val="4"/>
              </w:rPr>
            </w:pPr>
            <w:r>
              <w:rPr>
                <w:sz w:val="4"/>
                <w:szCs w:val="4"/>
              </w:rPr>
            </w:r>
          </w:p>
        </w:tc>
        <w:tc>
          <w:tcPr>
            <w:tcW w:w="4997"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B. Siegel</w:t>
            </w:r>
          </w:p>
          <w:p>
            <w:pPr>
              <w:pStyle w:val="TableContents"/>
              <w:bidi w:val="0"/>
              <w:spacing w:before="0" w:after="20"/>
              <w:jc w:val="center"/>
              <w:rPr>
                <w:rFonts w:ascii="Times New Roman" w:hAnsi="Times New Roman"/>
                <w:sz w:val="20"/>
              </w:rPr>
            </w:pPr>
            <w:r>
              <w:rPr>
                <w:rFonts w:ascii="Times New Roman" w:hAnsi="Times New Roman"/>
                <w:sz w:val="20"/>
              </w:rPr>
              <w:t>Jonathan B. Siegel</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283"/>
              <w:jc w:val="center"/>
              <w:rPr/>
            </w:pPr>
            <w:r>
              <w:rPr/>
              <w:t>October 22, 2026</w:t>
            </w:r>
          </w:p>
        </w:tc>
      </w:tr>
      <w:tr>
        <w:trPr>
          <w:trHeight w:val="240" w:hRule="atLeast"/>
        </w:trPr>
        <w:tc>
          <w:tcPr>
            <w:tcW w:w="3031" w:type="dxa"/>
            <w:tcBorders/>
            <w:vAlign w:val="center"/>
          </w:tcPr>
          <w:p>
            <w:pPr>
              <w:pStyle w:val="TableContents"/>
              <w:bidi w:val="0"/>
              <w:spacing w:before="0" w:after="283"/>
              <w:jc w:val="left"/>
              <w:rPr>
                <w:sz w:val="4"/>
                <w:szCs w:val="4"/>
              </w:rPr>
            </w:pPr>
            <w:r>
              <w:rPr>
                <w:sz w:val="4"/>
                <w:szCs w:val="4"/>
              </w:rPr>
            </w:r>
          </w:p>
        </w:tc>
        <w:tc>
          <w:tcPr>
            <w:tcW w:w="4997" w:type="dxa"/>
            <w:gridSpan w:val="2"/>
            <w:tcBorders/>
            <w:vAlign w:val="center"/>
          </w:tcPr>
          <w:p>
            <w:pPr>
              <w:pStyle w:val="TableContents"/>
              <w:bidi w:val="0"/>
              <w:spacing w:before="0" w:after="283"/>
              <w:jc w:val="left"/>
              <w:rPr>
                <w:sz w:val="4"/>
                <w:szCs w:val="4"/>
              </w:rPr>
            </w:pPr>
            <w:r>
              <w:rPr>
                <w:sz w:val="4"/>
                <w:szCs w:val="4"/>
              </w:rPr>
            </w:r>
          </w:p>
        </w:tc>
        <w:tc>
          <w:tcPr>
            <w:tcW w:w="2177" w:type="dxa"/>
            <w:gridSpan w:val="2"/>
            <w:tcBorders/>
            <w:vAlign w:val="center"/>
          </w:tcPr>
          <w:p>
            <w:pPr>
              <w:pStyle w:val="TableContents"/>
              <w:bidi w:val="0"/>
              <w:spacing w:before="0" w:after="283"/>
              <w:jc w:val="left"/>
              <w:rPr>
                <w:sz w:val="4"/>
                <w:szCs w:val="4"/>
              </w:rPr>
            </w:pPr>
            <w:r>
              <w:rPr>
                <w:sz w:val="4"/>
                <w:szCs w:val="4"/>
              </w:rPr>
            </w:r>
          </w:p>
        </w:tc>
      </w:tr>
      <w:tr>
        <w:trPr/>
        <w:tc>
          <w:tcPr>
            <w:tcW w:w="303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Anula Jayasuriya</w:t>
            </w:r>
          </w:p>
          <w:p>
            <w:pPr>
              <w:pStyle w:val="TableContents"/>
              <w:bidi w:val="0"/>
              <w:spacing w:before="0" w:after="20"/>
              <w:jc w:val="center"/>
              <w:rPr>
                <w:rFonts w:ascii="Times New Roman" w:hAnsi="Times New Roman"/>
                <w:sz w:val="20"/>
              </w:rPr>
            </w:pPr>
            <w:r>
              <w:rPr>
                <w:rFonts w:ascii="Times New Roman" w:hAnsi="Times New Roman"/>
                <w:sz w:val="20"/>
              </w:rPr>
              <w:t>Anula Jayasuriya</w:t>
            </w:r>
          </w:p>
        </w:tc>
        <w:tc>
          <w:tcPr>
            <w:tcW w:w="120" w:type="dxa"/>
            <w:tcBorders/>
            <w:vAlign w:val="bottom"/>
          </w:tcPr>
          <w:p>
            <w:pPr>
              <w:pStyle w:val="TableContents"/>
              <w:bidi w:val="0"/>
              <w:spacing w:before="0" w:after="283"/>
              <w:jc w:val="left"/>
              <w:rPr/>
            </w:pPr>
            <w:r>
              <w:rPr/>
              <w:t>  </w:t>
            </w:r>
          </w:p>
        </w:tc>
        <w:tc>
          <w:tcPr>
            <w:tcW w:w="4877"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78" w:type="dxa"/>
            <w:tcBorders/>
          </w:tcPr>
          <w:p>
            <w:pPr>
              <w:pStyle w:val="TableContents"/>
              <w:bidi w:val="0"/>
              <w:spacing w:before="0" w:after="283"/>
              <w:jc w:val="center"/>
              <w:rPr/>
            </w:pPr>
            <w:r>
              <w:rPr/>
              <w:t>October 22,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8" w:name="d169519dex51.htm"/>
      <w:bookmarkStart w:id="19" w:name="ksd169519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906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4"/>
                    <a:stretch>
                      <a:fillRect/>
                    </a:stretch>
                  </pic:blipFill>
                  <pic:spPr bwMode="auto">
                    <a:xfrm>
                      <a:off x="0" y="0"/>
                      <a:ext cx="1390650" cy="3048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Reed Smith LLP </w:t>
      </w:r>
    </w:p>
    <w:p>
      <w:pPr>
        <w:pStyle w:val="TextBody"/>
        <w:bidi w:val="0"/>
        <w:spacing w:before="0" w:after="0"/>
        <w:jc w:val="right"/>
        <w:rPr>
          <w:rFonts w:ascii="Times New Roman" w:hAnsi="Times New Roman"/>
          <w:sz w:val="20"/>
        </w:rPr>
      </w:pPr>
      <w:r>
        <w:rPr>
          <w:rFonts w:ascii="Times New Roman" w:hAnsi="Times New Roman"/>
          <w:sz w:val="20"/>
        </w:rPr>
        <w:t xml:space="preserve">1841 Page Mill Road </w:t>
      </w:r>
    </w:p>
    <w:p>
      <w:pPr>
        <w:pStyle w:val="TextBody"/>
        <w:bidi w:val="0"/>
        <w:spacing w:before="0" w:after="0"/>
        <w:jc w:val="right"/>
        <w:rPr>
          <w:rFonts w:ascii="Times New Roman" w:hAnsi="Times New Roman"/>
          <w:sz w:val="20"/>
        </w:rPr>
      </w:pPr>
      <w:r>
        <w:rPr>
          <w:rFonts w:ascii="Times New Roman" w:hAnsi="Times New Roman"/>
          <w:sz w:val="20"/>
        </w:rPr>
        <w:t xml:space="preserve">Suite 110 </w:t>
      </w:r>
    </w:p>
    <w:p>
      <w:pPr>
        <w:pStyle w:val="TextBody"/>
        <w:bidi w:val="0"/>
        <w:spacing w:before="0" w:after="0"/>
        <w:jc w:val="right"/>
        <w:rPr>
          <w:rFonts w:ascii="Times New Roman" w:hAnsi="Times New Roman"/>
          <w:sz w:val="20"/>
        </w:rPr>
      </w:pPr>
      <w:r>
        <w:rPr>
          <w:rFonts w:ascii="Times New Roman" w:hAnsi="Times New Roman"/>
          <w:sz w:val="20"/>
        </w:rPr>
        <w:t xml:space="preserve">Palo Alto, CA 94304 </w:t>
      </w:r>
    </w:p>
    <w:p>
      <w:pPr>
        <w:pStyle w:val="TextBody"/>
        <w:bidi w:val="0"/>
        <w:spacing w:before="0" w:after="0"/>
        <w:jc w:val="right"/>
        <w:rPr>
          <w:rFonts w:ascii="Times New Roman" w:hAnsi="Times New Roman"/>
          <w:sz w:val="20"/>
        </w:rPr>
      </w:pPr>
      <w:r>
        <w:rPr>
          <w:rFonts w:ascii="Times New Roman" w:hAnsi="Times New Roman"/>
          <w:sz w:val="20"/>
        </w:rPr>
        <w:t xml:space="preserve">+1 650 352 0500 </w:t>
      </w:r>
    </w:p>
    <w:p>
      <w:pPr>
        <w:pStyle w:val="TextBody"/>
        <w:bidi w:val="0"/>
        <w:spacing w:before="0" w:after="0"/>
        <w:jc w:val="right"/>
        <w:rPr>
          <w:rFonts w:ascii="Times New Roman" w:hAnsi="Times New Roman"/>
          <w:sz w:val="20"/>
        </w:rPr>
      </w:pPr>
      <w:r>
        <w:rPr>
          <w:rFonts w:ascii="Times New Roman" w:hAnsi="Times New Roman"/>
          <w:sz w:val="20"/>
        </w:rPr>
        <w:t xml:space="preserve">reedsmith.com </w:t>
      </w:r>
    </w:p>
    <w:p>
      <w:pPr>
        <w:pStyle w:val="TextBody"/>
        <w:bidi w:val="0"/>
        <w:spacing w:before="240" w:after="0"/>
        <w:jc w:val="right"/>
        <w:rPr>
          <w:rFonts w:ascii="Times New Roman" w:hAnsi="Times New Roman"/>
          <w:sz w:val="20"/>
        </w:rPr>
      </w:pPr>
      <w:r>
        <w:rPr>
          <w:rFonts w:ascii="Times New Roman" w:hAnsi="Times New Roman"/>
          <w:sz w:val="20"/>
        </w:rPr>
        <w:t xml:space="preserve">October 22, 2026 </w:t>
      </w:r>
    </w:p>
    <w:p>
      <w:pPr>
        <w:pStyle w:val="TextBody"/>
        <w:bidi w:val="0"/>
        <w:spacing w:before="240" w:after="0"/>
        <w:jc w:val="left"/>
        <w:rPr>
          <w:rFonts w:ascii="Times New Roman" w:hAnsi="Times New Roman"/>
          <w:sz w:val="20"/>
        </w:rPr>
      </w:pPr>
      <w:r>
        <w:rPr>
          <w:rFonts w:ascii="Times New Roman" w:hAnsi="Times New Roman"/>
          <w:sz w:val="20"/>
        </w:rPr>
        <w:t xml:space="preserve">Jaguar Health, Inc. </w:t>
      </w:r>
    </w:p>
    <w:p>
      <w:pPr>
        <w:pStyle w:val="TextBody"/>
        <w:bidi w:val="0"/>
        <w:spacing w:before="240" w:after="0"/>
        <w:jc w:val="left"/>
        <w:rPr>
          <w:rFonts w:ascii="Times New Roman" w:hAnsi="Times New Roman"/>
          <w:sz w:val="20"/>
        </w:rPr>
      </w:pPr>
      <w:r>
        <w:rPr>
          <w:rFonts w:ascii="Times New Roman" w:hAnsi="Times New Roman"/>
          <w:sz w:val="20"/>
        </w:rPr>
        <w:t xml:space="preserve">200 Pine Street, Suite 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94104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Jaguar Health, Inc., a Delaware corporation (the “</w:t>
      </w:r>
      <w:r>
        <w:rPr>
          <w:rFonts w:ascii="Times New Roman" w:hAnsi="Times New Roman"/>
          <w:sz w:val="20"/>
          <w:u w:val="single"/>
        </w:rPr>
        <w:t>Company</w:t>
      </w:r>
      <w:r>
        <w:rPr>
          <w:rFonts w:ascii="Times New Roman" w:hAnsi="Times New Roman"/>
          <w:sz w:val="20"/>
        </w:rPr>
        <w:t>”), in connection with the preparation and filing with the Securities and Exchange Commission (the “</w:t>
      </w:r>
      <w:r>
        <w:rPr>
          <w:rFonts w:ascii="Times New Roman" w:hAnsi="Times New Roman"/>
          <w:sz w:val="20"/>
          <w:u w:val="single"/>
        </w:rPr>
        <w:t>Commission</w:t>
      </w:r>
      <w:r>
        <w:rPr>
          <w:rFonts w:ascii="Times New Roman" w:hAnsi="Times New Roman"/>
          <w:sz w:val="20"/>
        </w:rPr>
        <w:t>”) of a Registration Statement on Form S-3 (the “</w:t>
      </w:r>
      <w:r>
        <w:rPr>
          <w:rFonts w:ascii="Times New Roman" w:hAnsi="Times New Roman"/>
          <w:sz w:val="20"/>
          <w:u w:val="single"/>
        </w:rPr>
        <w:t>Registration Statement</w:t>
      </w:r>
      <w:r>
        <w:rPr>
          <w:rFonts w:ascii="Times New Roman" w:hAnsi="Times New Roman"/>
          <w:sz w:val="20"/>
        </w:rPr>
        <w:t>”), pursuant to which the Company is registering the offer and sale under the Securities Act of 1933, as amended (the “</w:t>
      </w:r>
      <w:r>
        <w:rPr>
          <w:rFonts w:ascii="Times New Roman" w:hAnsi="Times New Roman"/>
          <w:sz w:val="20"/>
          <w:u w:val="single"/>
        </w:rPr>
        <w:t>Securities Act</w:t>
      </w:r>
      <w:r>
        <w:rPr>
          <w:rFonts w:ascii="Times New Roman" w:hAnsi="Times New Roman"/>
          <w:sz w:val="20"/>
        </w:rPr>
        <w:t xml:space="preserve">”), by the Company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$0.0001 par value per share (the “</w:t>
            </w:r>
            <w:r>
              <w:rPr>
                <w:rFonts w:ascii="Times New Roman" w:hAnsi="Times New Roman"/>
                <w:sz w:val="20"/>
                <w:u w:val="single"/>
              </w:rPr>
              <w:t>Common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per share (the “</w:t>
            </w:r>
            <w:r>
              <w:rPr>
                <w:rFonts w:ascii="Times New Roman" w:hAnsi="Times New Roman"/>
                <w:sz w:val="20"/>
                <w:u w:val="single"/>
              </w:rPr>
              <w:t>Preferred Stock</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warrants to purchase Common Stock and/or Preferred Stock (the “</w:t>
            </w:r>
            <w:r>
              <w:rPr>
                <w:rFonts w:ascii="Times New Roman" w:hAnsi="Times New Roman"/>
                <w:sz w:val="20"/>
                <w:u w:val="single"/>
              </w:rPr>
              <w:t>Warrants</w:t>
            </w:r>
            <w:r>
              <w:rPr>
                <w:rFonts w:ascii="Times New Roman" w:hAnsi="Times New Roman"/>
                <w:sz w:val="20"/>
              </w:rPr>
              <w:t>”), which may be issued under warrant agreements, to be dated on or about the date of the first issuance of the applicable Warrants thereunder, by and between the Company and a warrant agent to be selected by the Company (each, a “</w:t>
            </w:r>
            <w:r>
              <w:rPr>
                <w:rFonts w:ascii="Times New Roman" w:hAnsi="Times New Roman"/>
                <w:sz w:val="20"/>
                <w:u w:val="single"/>
              </w:rPr>
              <w:t>Warrant Agreement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subscription rights to purchase Common Stock, Preferred Stock and/or Warrants (the “</w:t>
            </w:r>
            <w:r>
              <w:rPr>
                <w:rFonts w:ascii="Times New Roman" w:hAnsi="Times New Roman"/>
                <w:sz w:val="20"/>
                <w:u w:val="single"/>
              </w:rPr>
              <w:t>Rights</w:t>
            </w:r>
            <w:r>
              <w:rPr>
                <w:rFonts w:ascii="Times New Roman" w:hAnsi="Times New Roman"/>
                <w:sz w:val="20"/>
              </w:rPr>
              <w:t>”), which may be issued pursuant to a rights agreement and certificates issued thereunder, to be dated on or about the date of the first issuance of the applicable Rights thereunder, by and between the Company and a rights agent to be selected by the Company (each, a “</w:t>
            </w:r>
            <w:r>
              <w:rPr>
                <w:rFonts w:ascii="Times New Roman" w:hAnsi="Times New Roman"/>
                <w:sz w:val="20"/>
                <w:u w:val="single"/>
              </w:rPr>
              <w:t>Rights Agreement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units comprised of one or more shares of Common Stock, Preferred Stock, Warrants and Rights, in any combination (the “</w:t>
            </w:r>
            <w:r>
              <w:rPr>
                <w:rFonts w:ascii="Times New Roman" w:hAnsi="Times New Roman"/>
                <w:sz w:val="20"/>
                <w:u w:val="single"/>
              </w:rPr>
              <w:t>Units</w:t>
            </w:r>
            <w:r>
              <w:rPr>
                <w:rFonts w:ascii="Times New Roman" w:hAnsi="Times New Roman"/>
                <w:sz w:val="20"/>
              </w:rPr>
              <w:t>”), which may be issued under unit agreements, to be dated on or about the date of the first issuance of the applicable Units thereunder, by and between the Company and a unit agent to be selected by the Company (each, a “</w:t>
            </w:r>
            <w:r>
              <w:rPr>
                <w:rFonts w:ascii="Times New Roman" w:hAnsi="Times New Roman"/>
                <w:sz w:val="20"/>
                <w:u w:val="single"/>
              </w:rPr>
              <w:t>Unit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The Common Stock, the Preferred Stock, the Warrants, the Rights and the Units are collectively referred to herein as the “</w:t>
      </w:r>
      <w:r>
        <w:rPr>
          <w:rFonts w:ascii="Times New Roman" w:hAnsi="Times New Roman"/>
          <w:sz w:val="20"/>
          <w:u w:val="single"/>
        </w:rPr>
        <w:t>Securities</w:t>
      </w:r>
      <w:r>
        <w:rPr>
          <w:rFonts w:ascii="Times New Roman" w:hAnsi="Times New Roman"/>
          <w:sz w:val="20"/>
        </w:rPr>
        <w:t xml:space="preserve">.” The Registration Statement relates to the registration of the offer and sale of the Securities to be offered and sold by the Company from time to time on a delayed or continuous basis pursuant to Rule 415 under the Securities Act. The maximum aggregate public offering price of the Securities being registered is $75,000,000. This opinion is being rendered in connection with the filing of the Registration Statement with the Commission. All capitalized terms used herein and not otherwise defined shall have the respective meanings given to them in the Registration Statement. In connection with this opinion, we have examined the Company’s Third Amended and Restated Certificate of Incorporation, as amended through the date hereof, and Amended and Restated Bylaws, as amended through the date hereof, each as currently in effect, such other records of the corporate proceedings of the Company and certificates of the Company’s officers or public officials and other instruments as we have deemed necessary or advisable, and the Registration Statement and the exhibits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our examination, we have assumed the genuineness of all signatures, the legal capacity of natural persons, the authenticity of all documents submitted to us as originals, the conformity to original documents of all documents submitted to us as duplicated or conformed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Delaware and New York laws, in the manner presently proposed.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a liability where such indemnification or contribution is contrary to public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that the Warrant Agreement, Rights Agreement and Unit Agreement will each be duly authorized, executed, and delivered by the warrant agent, rights agent and unit agent, respectively, thereunder. With respect to our opinion as to the Common Stock and Securities convertible into or exercisable for shares of Common Stock, we have assumed that, at the time of issuance and sale, a sufficient number of shares of Common Stock is authorized and available for issuance under the Company’s certificate of incorporation as then in effect and that the consideration for the issuance and sale of the Common Stock (or Preferred Stock convertible into Common Stock, or Warrants or Rights exercisable for Common Stock or any Units of such Securities)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is authorized, designated and available for issuance under the Company’s certificate of incorporation as then in effect and that the consideration for the issuance and sale of the Preferred Stock (or Warrants or Rights exercisable for Preferred Stock or any Units of such Securities) is in an amount that is not less than the par value of the Preferred Stock. We have also assumed that any Warrants, Rights or Units offered under the Registration Statement, and the related Warrant Agreement, Rights Agreement or Unit Agreement, as applicable, will be executed in the forms to be filed as exhibits to the Registration Statement or incorporated by reference therein. We have not independently verified any of the foregoing assumptions.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this opinion is to be used only in connection with the offer and sale of Securities while the Registration Statement is effective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based solely on the General Corporation Law of the State of Delaware now in effect and, as to the Warrants, the Rights, and the Units constituting binding obligations of the Company, insofar as such securities are governed by New York law, the existing internal laws of the State of New York now in effect.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we are of the opinion that: </w:t>
      </w:r>
    </w:p>
    <w:p>
      <w:pPr>
        <w:pStyle w:val="TextBody"/>
        <w:bidi w:val="0"/>
        <w:spacing w:before="120" w:after="0"/>
        <w:jc w:val="left"/>
        <w:rPr>
          <w:rFonts w:ascii="Times New Roman" w:hAnsi="Times New Roman"/>
          <w:sz w:val="20"/>
        </w:rPr>
      </w:pPr>
      <w:r>
        <w:rPr>
          <w:rFonts w:ascii="Times New Roman" w:hAnsi="Times New Roman"/>
          <w:sz w:val="20"/>
        </w:rPr>
        <w:t>1. With respect to the Common Stock, when (i) specifically authorized for issuance by the Company’s board of directors or an authorized committee thereof (the “</w:t>
      </w:r>
      <w:r>
        <w:rPr>
          <w:rFonts w:ascii="Times New Roman" w:hAnsi="Times New Roman"/>
          <w:sz w:val="20"/>
          <w:u w:val="single"/>
        </w:rPr>
        <w:t>Authorizing Resolutions</w:t>
      </w:r>
      <w:r>
        <w:rPr>
          <w:rFonts w:ascii="Times New Roman" w:hAnsi="Times New Roman"/>
          <w:sz w:val="20"/>
        </w:rPr>
        <w:t>”), (ii) the Registration Statement, as finally amended (including all post-effective amendments), has become effective under the Securities Act, (iii) an appropriate prospectus or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w:t>
      </w:r>
      <w:r>
        <w:rPr>
          <w:rFonts w:ascii="Times New Roman" w:hAnsi="Times New Roman"/>
          <w:sz w:val="20"/>
          <w:u w:val="single"/>
        </w:rPr>
        <w:t>Underwriting Agreement</w:t>
      </w:r>
      <w:r>
        <w:rPr>
          <w:rFonts w:ascii="Times New Roman" w:hAnsi="Times New Roman"/>
          <w:sz w:val="20"/>
        </w:rPr>
        <w:t xml:space="preserve">”), such Underwriting Agreement with respect to the applicable shares of Common Stock in the form filed as an exhibit to the Registration Statement, any post-effective amendment thereto or to a Current Report on Form 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 binding on the Company and comply with any requirement or restriction imposed by any court or governmental body having jurisdiction over the Company, (vi) the applicable shares of Common Stock have been duly issued and sold as contemplated by the Registration Statement and the prospectus included therein, and (vii) the Company has received the consideration provided for in the Authorizing Resolutions and, if applicable, the applicable Underwriting Agreement, the applicable shares of Common Stock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2. With respect to the Preferred Stock, when (i) specifically authorized for issuance by the Authorizing Resolutions, (ii) the Registration Statement, as finally amended (including all post-effective amendments), has become effective under the Securities Act, (iii) an appropriate prospectus or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of incorporation or certificates of amendment or designation relating to a class or series of the applicable shares of Preferred Stock to be sold under the Registration Statement has been duly authorized and adopted and filed with the Secretary of State of the State of Delaware prior to the issuance of the Preferred Stock, (vi) the terms of issuance and sale of shares of such applicable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the applicable shares of such class or series of Preferred Stock have been duly issued and sold as contemplated by the Registration Statement and the prospectus included therein, and (viii) the Company has received the consideration provided for in the Authorizing Resolutions and, if applicable, the applicable Underwriting Agreement, the applicable shares of Preferred Stock will be validly issued, fully paid and nonassessable.</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or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applicable Warrants and of their issuance and sale have been duly established in conformity with the Warrant Agreement and applicable forms of warrant and do not violate any applicable law or result in a default under or breach of any agreement or instrument binding upon the Company and comply with any requirement or restriction imposed by any court or governmental body having jurisdiction over the Company, (vii) the applicable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applicable Underwriting Agreement, the applicable Warrants will constitute binding obligations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With respect to the Rights, when (i) specifically authorized for issuance by the Authorizing Resolutions, (ii) the Registration Statement, as finally amended (including all post-effective amendments), has become effective under the Securities Act, (iii) the Rights Agreement and any certificates relating to the Rights have been duly authorized, executed, and delivered by the Company, (iv) an appropriate prospectus or prospectus supplement with respect to the applicable Rights has been prepared, delivered and filed in compliance with the Securities Act and the applicable rules and regulations thereunder, (v) if the applicable Rights are to be sold pursuant to an Underwriting Agreement, such Underwriting Agreement with respect to the applicable Rights in the form filed as an exhibit to the Registration Statement, any post-effective amendment thereto or to a Current Report on Form 8-K, has been duly authorized, executed and delivered by the Company and the other parties thereto, (vi) the terms of the applicable Rights and of their issuance and sale have been duly established in conformity with the Rights Agreement and any applicable rights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applicable Rights have been duly executed and countersigned in accordance with the Rights Agreement and issued and sold as contemplated by the Registration Statement and the prospectus included therein, and (viii) the Company has received the consideration provided for in the Authorizing Resolutions and, if applicable, the applicable Underwriting Agreement, the applicable Rights will constitute binding obligations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or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applicable Units and of their issuance and sale have been duly established in conformity with the Unit Agreement and any applicable unit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applicable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applicable Underwriting Agreement, the applicable Units will constitute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5.1 to the Registration Statement in accordance with the requirements of Item 601(b)(5) of Regulation S-K promulgated under the Securities Act and further consent to all references to us under the caption “Legal Matters” in the prospectus that forms part of the Registration Statement. In giving such consent, we do not hereby admit that we are within the category of persons whose consent is required under Section 7 of the Securities Act or the applicable rules and regulations of the Commission promulgated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84"/>
        <w:gridCol w:w="60"/>
        <w:gridCol w:w="3738"/>
      </w:tblGrid>
      <w:tr>
        <w:trPr/>
        <w:tc>
          <w:tcPr>
            <w:tcW w:w="2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83"/>
              <w:jc w:val="left"/>
              <w:rPr/>
            </w:pPr>
            <w:r>
              <w:rPr/>
              <w:t>Very truly yours,</w:t>
            </w:r>
          </w:p>
        </w:tc>
      </w:tr>
      <w:tr>
        <w:trPr>
          <w:trHeight w:val="240" w:hRule="atLeast"/>
        </w:trPr>
        <w:tc>
          <w:tcPr>
            <w:tcW w:w="284" w:type="dxa"/>
            <w:tcBorders/>
            <w:vAlign w:val="center"/>
          </w:tcPr>
          <w:p>
            <w:pPr>
              <w:pStyle w:val="TableContents"/>
              <w:bidi w:val="0"/>
              <w:spacing w:before="0" w:after="283"/>
              <w:jc w:val="left"/>
              <w:rPr>
                <w:sz w:val="4"/>
                <w:szCs w:val="4"/>
              </w:rPr>
            </w:pPr>
            <w:r>
              <w:rPr>
                <w:sz w:val="4"/>
                <w:szCs w:val="4"/>
              </w:rPr>
            </w:r>
          </w:p>
        </w:tc>
        <w:tc>
          <w:tcPr>
            <w:tcW w:w="3798" w:type="dxa"/>
            <w:gridSpan w:val="2"/>
            <w:tcBorders/>
            <w:vAlign w:val="center"/>
          </w:tcPr>
          <w:p>
            <w:pPr>
              <w:pStyle w:val="TableContents"/>
              <w:bidi w:val="0"/>
              <w:spacing w:before="0" w:after="283"/>
              <w:jc w:val="left"/>
              <w:rPr>
                <w:sz w:val="4"/>
                <w:szCs w:val="4"/>
              </w:rPr>
            </w:pPr>
            <w:r>
              <w:rPr>
                <w:sz w:val="4"/>
                <w:szCs w:val="4"/>
              </w:rPr>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Reed Smith LLP</w:t>
            </w:r>
          </w:p>
        </w:tc>
      </w:tr>
      <w:tr>
        <w:trPr/>
        <w:tc>
          <w:tcPr>
            <w:tcW w:w="2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38" w:type="dxa"/>
            <w:tcBorders/>
          </w:tcPr>
          <w:p>
            <w:pPr>
              <w:pStyle w:val="TableContents"/>
              <w:bidi w:val="0"/>
              <w:spacing w:before="0" w:after="283"/>
              <w:jc w:val="left"/>
              <w:rPr/>
            </w:pPr>
            <w:r>
              <w:rPr/>
              <w:t>REED SMITH LLP</w:t>
            </w:r>
          </w:p>
        </w:tc>
      </w:tr>
    </w:tbl>
    <w:p>
      <w:pPr>
        <w:pStyle w:val="TextBody"/>
        <w:bidi w:val="0"/>
        <w:spacing w:before="0" w:after="0"/>
        <w:jc w:val="right"/>
        <w:rPr>
          <w:rFonts w:ascii="Times New Roman" w:hAnsi="Times New Roman"/>
          <w:b/>
          <w:sz w:val="20"/>
        </w:rPr>
      </w:pPr>
      <w:bookmarkStart w:id="20" w:name="d169519dex231.htm"/>
      <w:bookmarkStart w:id="21" w:name="ksd169519dex231"/>
      <w:bookmarkEnd w:id="20"/>
      <w:bookmarkEnd w:id="21"/>
      <w:r>
        <w:rPr>
          <w:rFonts w:ascii="Times New Roman" w:hAnsi="Times New Roman"/>
          <w:b/>
          <w:sz w:val="20"/>
        </w:rPr>
        <w:t xml:space="preserve">Exhibit 23.1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019425"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5"/>
                    <a:stretch>
                      <a:fillRect/>
                    </a:stretch>
                  </pic:blipFill>
                  <pic:spPr bwMode="auto">
                    <a:xfrm>
                      <a:off x="0" y="0"/>
                      <a:ext cx="3019425" cy="56197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INDEPENDENT REGISTERED PUBLIC ACCOUNTING FIRM’S CONSENT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Statements of Jaguar, Inc. on Form S-3 of our report dated April 7, 2026 with respect to our audits of the financial statements of Jaguar, Inc., as of December 31, 2025 and 2024 and for each of the years in the two-year period ended December 31, 2025, which report includes an explanatory paragraph regarding the company’s ability to continue as going concern.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to us under the caption “Experts” in the prospectus which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RBSM LLP </w:t>
      </w:r>
    </w:p>
    <w:p>
      <w:pPr>
        <w:pStyle w:val="TextBody"/>
        <w:bidi w:val="0"/>
        <w:spacing w:before="240" w:after="0"/>
        <w:jc w:val="left"/>
        <w:rPr>
          <w:rFonts w:ascii="Times New Roman" w:hAnsi="Times New Roman"/>
          <w:b/>
          <w:sz w:val="20"/>
        </w:rPr>
      </w:pPr>
      <w:r>
        <w:rPr>
          <w:rFonts w:ascii="Times New Roman" w:hAnsi="Times New Roman"/>
          <w:b/>
          <w:sz w:val="20"/>
        </w:rPr>
        <w:t xml:space="preserve">RBSM LLP </w:t>
      </w:r>
    </w:p>
    <w:p>
      <w:pPr>
        <w:pStyle w:val="TextBody"/>
        <w:bidi w:val="0"/>
        <w:spacing w:before="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October 22, 2026 </w:t>
      </w:r>
    </w:p>
    <w:p>
      <w:pPr>
        <w:pStyle w:val="Normal"/>
        <w:bidi w:val="0"/>
        <w:spacing w:before="0" w:after="0"/>
        <w:jc w:val="left"/>
        <w:rPr>
          <w:sz w:val="4"/>
          <w:szCs w:val="4"/>
        </w:rPr>
      </w:pPr>
      <w:r>
        <w:rPr>
          <w:sz w:val="4"/>
          <w:szCs w:val="4"/>
        </w:rPr>
      </w:r>
      <w:bookmarkStart w:id="22" w:name="d169519dexfilingfees.htm"/>
      <w:bookmarkStart w:id="23" w:name="ksd169519dexfilingfees"/>
      <w:bookmarkStart w:id="24" w:name="d169519dexfilingfees.htm"/>
      <w:bookmarkStart w:id="25" w:name="ksd169519dexfilingfees"/>
      <w:bookmarkEnd w:id="24"/>
      <w:bookmarkEnd w:id="25"/>
      <w:r>
        <w:br w:type="page"/>
      </w:r>
    </w:p>
    <w:tbl>
      <w:tblPr>
        <w:tblW w:w="3568" w:type="dxa"/>
        <w:jc w:val="left"/>
        <w:tblInd w:w="0" w:type="dxa"/>
        <w:tblLayout w:type="fixed"/>
        <w:tblCellMar>
          <w:top w:w="28" w:type="dxa"/>
          <w:left w:w="28" w:type="dxa"/>
          <w:bottom w:w="28" w:type="dxa"/>
          <w:right w:w="28" w:type="dxa"/>
        </w:tblCellMar>
      </w:tblPr>
      <w:tblGrid>
        <w:gridCol w:w="3414"/>
        <w:gridCol w:w="154"/>
      </w:tblGrid>
      <w:tr>
        <w:trPr/>
        <w:tc>
          <w:tcPr>
            <w:tcW w:w="356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4" w:type="dxa"/>
            <w:tcBorders/>
            <w:vAlign w:val="center"/>
          </w:tcPr>
          <w:p>
            <w:pPr>
              <w:pStyle w:val="TableContents"/>
              <w:bidi w:val="0"/>
              <w:spacing w:before="0" w:after="283"/>
              <w:jc w:val="left"/>
              <w:rPr>
                <w:b/>
              </w:rPr>
            </w:pPr>
            <w:r>
              <w:rPr>
                <w:b/>
              </w:rPr>
              <w:t xml:space="preserve">Jaguar Health,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91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66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9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$ 33,440,881.99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$ 2,909.36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9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333-278861 </w:t>
            </w:r>
          </w:p>
        </w:tc>
        <w:tc>
          <w:tcPr>
            <w:tcW w:w="1021" w:type="dxa"/>
            <w:tcBorders/>
            <w:shd w:fill="E7E7E2" w:val="clear"/>
            <w:vAlign w:val="center"/>
          </w:tcPr>
          <w:p>
            <w:pPr>
              <w:pStyle w:val="TableContents"/>
              <w:bidi w:val="0"/>
              <w:spacing w:before="0" w:after="283"/>
              <w:jc w:val="center"/>
              <w:rPr/>
            </w:pPr>
            <w:r>
              <w:rPr/>
              <w:t xml:space="preserve">04/22/2024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par value $0.0001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333-278861 </w:t>
            </w:r>
          </w:p>
        </w:tc>
        <w:tc>
          <w:tcPr>
            <w:tcW w:w="1021" w:type="dxa"/>
            <w:tcBorders/>
            <w:shd w:fill="E7E7E2" w:val="clear"/>
            <w:vAlign w:val="center"/>
          </w:tcPr>
          <w:p>
            <w:pPr>
              <w:pStyle w:val="TableContents"/>
              <w:bidi w:val="0"/>
              <w:spacing w:before="0" w:after="283"/>
              <w:jc w:val="center"/>
              <w:rPr/>
            </w:pPr>
            <w:r>
              <w:rPr/>
              <w:t xml:space="preserve">04/22/2024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333-278861 </w:t>
            </w:r>
          </w:p>
        </w:tc>
        <w:tc>
          <w:tcPr>
            <w:tcW w:w="1021" w:type="dxa"/>
            <w:tcBorders/>
            <w:shd w:fill="E7E7E2" w:val="clear"/>
            <w:vAlign w:val="center"/>
          </w:tcPr>
          <w:p>
            <w:pPr>
              <w:pStyle w:val="TableContents"/>
              <w:bidi w:val="0"/>
              <w:spacing w:before="0" w:after="283"/>
              <w:jc w:val="center"/>
              <w:rPr/>
            </w:pPr>
            <w:r>
              <w:rPr/>
              <w:t xml:space="preserve">04/22/2024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333-278861 </w:t>
            </w:r>
          </w:p>
        </w:tc>
        <w:tc>
          <w:tcPr>
            <w:tcW w:w="1021" w:type="dxa"/>
            <w:tcBorders/>
            <w:shd w:fill="E7E7E2" w:val="clear"/>
            <w:vAlign w:val="center"/>
          </w:tcPr>
          <w:p>
            <w:pPr>
              <w:pStyle w:val="TableContents"/>
              <w:bidi w:val="0"/>
              <w:spacing w:before="0" w:after="283"/>
              <w:jc w:val="center"/>
              <w:rPr/>
            </w:pPr>
            <w:r>
              <w:rPr/>
              <w:t xml:space="preserve">04/22/2024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333-278861 </w:t>
            </w:r>
          </w:p>
        </w:tc>
        <w:tc>
          <w:tcPr>
            <w:tcW w:w="1021" w:type="dxa"/>
            <w:tcBorders/>
            <w:shd w:fill="E7E7E2" w:val="clear"/>
            <w:vAlign w:val="center"/>
          </w:tcPr>
          <w:p>
            <w:pPr>
              <w:pStyle w:val="TableContents"/>
              <w:bidi w:val="0"/>
              <w:spacing w:before="0" w:after="283"/>
              <w:jc w:val="center"/>
              <w:rPr/>
            </w:pPr>
            <w:r>
              <w:rPr/>
              <w:t xml:space="preserve">04/22/2024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$ 41,559,118.01 </w:t>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333-278861 </w:t>
            </w:r>
          </w:p>
        </w:tc>
        <w:tc>
          <w:tcPr>
            <w:tcW w:w="1021" w:type="dxa"/>
            <w:tcBorders/>
            <w:shd w:fill="E7E7E2" w:val="clear"/>
            <w:vAlign w:val="center"/>
          </w:tcPr>
          <w:p>
            <w:pPr>
              <w:pStyle w:val="TableContents"/>
              <w:bidi w:val="0"/>
              <w:spacing w:before="0" w:after="283"/>
              <w:jc w:val="center"/>
              <w:rPr/>
            </w:pPr>
            <w:r>
              <w:rPr/>
              <w:t xml:space="preserve">04/22/2024 </w:t>
            </w:r>
          </w:p>
        </w:tc>
        <w:tc>
          <w:tcPr>
            <w:tcW w:w="1321" w:type="dxa"/>
            <w:tcBorders/>
            <w:shd w:fill="E7E7E2" w:val="clear"/>
            <w:vAlign w:val="center"/>
          </w:tcPr>
          <w:p>
            <w:pPr>
              <w:pStyle w:val="TableContents"/>
              <w:bidi w:val="0"/>
              <w:spacing w:before="0" w:after="283"/>
              <w:jc w:val="right"/>
              <w:rPr/>
            </w:pPr>
            <w:r>
              <w:rPr/>
              <w:t xml:space="preserve">$ 6,134.13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6" w:name="MaxAggtOfferingPrice"/>
            <w:bookmarkEnd w:id="26"/>
            <w:r>
              <w:rPr/>
              <w:t xml:space="preserve">$ 75,000,000.00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$ 2,909.36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$ 2,909.36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484"/>
        <w:gridCol w:w="852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There are being registered under this Registration Statement such indeterminate number of common stock, preferred stock, warrants, and subscription rights of Jaguar Health, Inc. (the "Registrant"), and a combination of such securities, separately or as units, as may be sold by the Registrant from time to time, which collectively, shall have an initial maximum aggregate offering price not to exceed $75,000,000. Pursuant to Rule 416 under the U.S. Securities Act of 1933, as amended (the "Securities Act"), the securities being registered hereunder include such indeterminate number of common stock, preferred stock, warrants, subscription rights, and units as may be issuable with respect to the securities being registered hereunder as a result of stock splits, stock dividends, or similar transactions. The proposed maximum aggregate offering price per security will be determined, from time to time, by the Registrant in connection with the sale of the securities under this Registration Statement. (2) The proposed maximum aggregate offering price per class of security will be determined from time to time by the Registrant in connection with the issuance by the Registrant of the securities registered under this Registration Statement and is not specified as to each class of security pursuant to Instruction 2.A.iii.b. of the Instructions to the Calculation of Filing Fee Tables and Related Disclosure on Form S-3 under the Securities Act. </w:t>
            </w:r>
          </w:p>
        </w:tc>
      </w:tr>
      <w:tr>
        <w:trPr/>
        <w:tc>
          <w:tcPr>
            <w:tcW w:w="1682" w:type="dxa"/>
            <w:gridSpan w:val="2"/>
            <w:tcBorders/>
            <w:vAlign w:val="center"/>
          </w:tcPr>
          <w:p>
            <w:pPr>
              <w:pStyle w:val="HorizontalLine"/>
              <w:pBdr>
                <w:bottom w:val="double" w:sz="2" w:space="0" w:color="808080"/>
              </w:pBdr>
              <w:bidi w:val="0"/>
              <w:spacing w:before="0" w:after="283"/>
              <w:jc w:val="left"/>
              <w:rPr/>
            </w:pPr>
            <w:r>
              <w:rPr/>
            </w:r>
          </w:p>
        </w:tc>
        <w:tc>
          <w:tcPr>
            <w:tcW w:w="8523"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(3) Pursuant to Rule 415(a)(6) under the Securities Act, the securities registered pursuant to this registration statement include $41,559,118.01 of unsold securities (the "Unsold Securities") previously registered and offered by the Registrant pursuant to the Registration Statement on Form S-3 (File No. 333-278861) (the "Prior Registration Statement"), which was declared effective on May 1, 2024. The Prior Registration Statement registered securities for a maximum aggregate offering price of $75,000,000, and of that amount the registrant has previously sold securities for an aggregate offering price of $33,440,881.99. In connection with the filing of the Prior Registration Statement, the Registrant paid a filing fee of $11,070 with respect to the aggregate $75,000,000 of securities (based on the filing fee rate in effect at the time of the filing of the Prior Registration Statement). Of that amount, $6,134.13 is associated with the Unsold Securities. Pursuant to Rule 457(p), the filing fee associated with the offering of the Unsold Securities is hereby carried forward to be applied to the Unsold Securities registered hereunder. In addition to the Unsold Securities being carried forward from the Prior Registration Statement, the Registrant is also registering hereby the offer and sale of an additional $33,440,881.99 of new securities for which the Registrant is paying a registration fee of $2,909.36.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w:t>
            </w:r>
          </w:p>
        </w:tc>
      </w:tr>
      <w:tr>
        <w:trPr/>
        <w:tc>
          <w:tcPr>
            <w:tcW w:w="1682" w:type="dxa"/>
            <w:gridSpan w:val="2"/>
            <w:tcBorders/>
            <w:vAlign w:val="center"/>
          </w:tcPr>
          <w:p>
            <w:pPr>
              <w:pStyle w:val="HorizontalLine"/>
              <w:pBdr>
                <w:bottom w:val="double" w:sz="2" w:space="0" w:color="808080"/>
              </w:pBdr>
              <w:bidi w:val="0"/>
              <w:spacing w:before="0" w:after="283"/>
              <w:jc w:val="left"/>
              <w:rPr/>
            </w:pPr>
            <w:r>
              <w:rPr/>
            </w:r>
          </w:p>
        </w:tc>
        <w:tc>
          <w:tcPr>
            <w:tcW w:w="852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85608/000119312526144470/jagx-20251231.htm" TargetMode="External"/><Relationship Id="rId4" Type="http://schemas.openxmlformats.org/officeDocument/2006/relationships/hyperlink" Target="http://www.sec.gov/Archives/edgar/data/../../../ix?doc=/Archives/edgar/data/1585608/000119312526232560/jagx-20260331.htm" TargetMode="External"/><Relationship Id="rId5" Type="http://schemas.openxmlformats.org/officeDocument/2006/relationships/hyperlink" Target="http://www.sec.gov/Archives/edgar/data/../../../ix?doc=/Archives/edgar/data/1585608/000119312526356570/jagx-20260630.htm" TargetMode="External"/><Relationship Id="rId6" Type="http://schemas.openxmlformats.org/officeDocument/2006/relationships/hyperlink" Target="http://www.sec.gov/Archives/edgar/data/../../../ix?doc=/Archives/edgar/data/1585608/000119312526192753/d70657ddef14a.htm" TargetMode="External"/><Relationship Id="rId7" Type="http://schemas.openxmlformats.org/officeDocument/2006/relationships/hyperlink" Target="http://www.sec.gov/Archives/edgar/data/../../../ix?doc=/Archives/edgar/data/1585608/000119312526192753/d70657ddef14a.htm" TargetMode="External"/><Relationship Id="rId8" Type="http://schemas.openxmlformats.org/officeDocument/2006/relationships/hyperlink" Target="http://www.sec.gov/Archives/edgar/data/1585608/000119312526207621/d104009ddefa14a.htm" TargetMode="External"/><Relationship Id="rId9" Type="http://schemas.openxmlformats.org/officeDocument/2006/relationships/hyperlink" Target="http://www.sec.gov/Archives/edgar/data/1585608/000119312526248883/d115751ddefa14a.htm" TargetMode="External"/><Relationship Id="rId10" Type="http://schemas.openxmlformats.org/officeDocument/2006/relationships/hyperlink" Target="http://www.sec.gov/Archives/edgar/data/../../../ix?doc=/Archives/edgar/data/1585608/000119312526009221/jagx-20260105.htm" TargetMode="External"/><Relationship Id="rId11" Type="http://schemas.openxmlformats.org/officeDocument/2006/relationships/hyperlink" Target="http://www.sec.gov/Archives/edgar/data/1585608/000119312526009644/jagx-20260112.htm" TargetMode="External"/><Relationship Id="rId12" Type="http://schemas.openxmlformats.org/officeDocument/2006/relationships/hyperlink" Target="http://www.sec.gov/Archives/edgar/data/../../../ix?doc=/Archives/edgar/data/1585608/000119312526014231/jagx-20260112.htm" TargetMode="External"/><Relationship Id="rId13" Type="http://schemas.openxmlformats.org/officeDocument/2006/relationships/hyperlink" Target="http://www.sec.gov/Archives/edgar/data/../../../ix?doc=/Archives/edgar/data/1585608/000119312526021064/jagx-20260116.htm" TargetMode="External"/><Relationship Id="rId14" Type="http://schemas.openxmlformats.org/officeDocument/2006/relationships/hyperlink" Target="http://www.sec.gov/Archives/edgar/data/../../../ix?doc=/Archives/edgar/data/1585608/000119312526056157/d70748d8k.htm" TargetMode="External"/><Relationship Id="rId15" Type="http://schemas.openxmlformats.org/officeDocument/2006/relationships/hyperlink" Target="http://www.sec.gov/Archives/edgar/data/../../../ix?doc=/Archives/edgar/data/1585608/000119312526086882/d236488d8k.htm" TargetMode="External"/><Relationship Id="rId16" Type="http://schemas.openxmlformats.org/officeDocument/2006/relationships/hyperlink" Target="http://www.sec.gov/Archives/edgar/data/../../../ix?doc=/Archives/edgar/data/1585608/000119312526096565/d62332d8k.htm" TargetMode="External"/><Relationship Id="rId17" Type="http://schemas.openxmlformats.org/officeDocument/2006/relationships/hyperlink" Target="http://www.sec.gov/Archives/edgar/data/../../../ix?doc=/Archives/edgar/data/1585608/000119312526097700/d89977d8k.htm" TargetMode="External"/><Relationship Id="rId18" Type="http://schemas.openxmlformats.org/officeDocument/2006/relationships/hyperlink" Target="http://www.sec.gov/Archives/edgar/data/../../../ix?doc=/Archives/edgar/data/1585608/000119312526144604/d111491d8k.htm" TargetMode="External"/><Relationship Id="rId19" Type="http://schemas.openxmlformats.org/officeDocument/2006/relationships/hyperlink" Target="http://www.sec.gov/Archives/edgar/data/../../../ix?doc=/Archives/edgar/data/1585608/000119312526149828/d145473d8k.htm" TargetMode="External"/><Relationship Id="rId20" Type="http://schemas.openxmlformats.org/officeDocument/2006/relationships/hyperlink" Target="http://www.sec.gov/Archives/edgar/data/../../../ix?doc=/Archives/edgar/data/1585608/000119312526165120/d10648d8k.htm" TargetMode="External"/><Relationship Id="rId21" Type="http://schemas.openxmlformats.org/officeDocument/2006/relationships/hyperlink" Target="http://www.sec.gov/Archives/edgar/data/../../../ix?doc=/Archives/edgar/data/1585608/000119312526179391/d109088d8k.htm" TargetMode="External"/><Relationship Id="rId22" Type="http://schemas.openxmlformats.org/officeDocument/2006/relationships/hyperlink" Target="http://www.sec.gov/Archives/edgar/data/../../../ix?doc=/Archives/edgar/data/1585608/000119312526202614/d46623d8k.htm" TargetMode="External"/><Relationship Id="rId23" Type="http://schemas.openxmlformats.org/officeDocument/2006/relationships/hyperlink" Target="http://www.sec.gov/Archives/edgar/data/../../../ix?doc=/Archives/edgar/data/1585608/000119312526204310/d941132d8k.htm" TargetMode="External"/><Relationship Id="rId24" Type="http://schemas.openxmlformats.org/officeDocument/2006/relationships/hyperlink" Target="http://www.sec.gov/Archives/edgar/data/../../../ix?doc=/Archives/edgar/data/1585608/000119312526211545/d55784d8k.htm" TargetMode="External"/><Relationship Id="rId25" Type="http://schemas.openxmlformats.org/officeDocument/2006/relationships/hyperlink" Target="http://www.sec.gov/Archives/edgar/data/../../../ix?doc=/Archives/edgar/data/1585608/000119312526231083/d227929d8k.htm" TargetMode="External"/><Relationship Id="rId26" Type="http://schemas.openxmlformats.org/officeDocument/2006/relationships/hyperlink" Target="http://www.sec.gov/Archives/edgar/data/../../../ix?doc=/Archives/edgar/data/1585608/000119312526237195/d138181d8k.htm" TargetMode="External"/><Relationship Id="rId27" Type="http://schemas.openxmlformats.org/officeDocument/2006/relationships/hyperlink" Target="http://www.sec.gov/Archives/edgar/data/../../../ix?doc=/Archives/edgar/data/1585608/000119312526240645/d129501d8k.htm" TargetMode="External"/><Relationship Id="rId28" Type="http://schemas.openxmlformats.org/officeDocument/2006/relationships/hyperlink" Target="http://www.sec.gov/Archives/edgar/data/../../../ix?doc=/Archives/edgar/data/1585608/000119312526253506/d95782d8k.htm" TargetMode="External"/><Relationship Id="rId29" Type="http://schemas.openxmlformats.org/officeDocument/2006/relationships/hyperlink" Target="http://www.sec.gov/Archives/edgar/data/../../../ix?doc=/Archives/edgar/data/1585608/000119312526261910/d85703d8k.htm" TargetMode="External"/><Relationship Id="rId30" Type="http://schemas.openxmlformats.org/officeDocument/2006/relationships/hyperlink" Target="http://www.sec.gov/Archives/edgar/data/../../../ix?doc=/Archives/edgar/data/1585608/000119312526266770/d570985d8k.htm" TargetMode="External"/><Relationship Id="rId31" Type="http://schemas.openxmlformats.org/officeDocument/2006/relationships/hyperlink" Target="http://www.sec.gov/Archives/edgar/data/../../../ix?doc=/Archives/edgar/data/1585608/000119312526276103/d111863d8k.htm" TargetMode="External"/><Relationship Id="rId32" Type="http://schemas.openxmlformats.org/officeDocument/2006/relationships/hyperlink" Target="http://www.sec.gov/Archives/edgar/data/../../../ix?doc=/Archives/edgar/data/1585608/000119312526276845/d27128d8k.htm" TargetMode="External"/><Relationship Id="rId33" Type="http://schemas.openxmlformats.org/officeDocument/2006/relationships/hyperlink" Target="http://www.sec.gov/Archives/edgar/data/../../../ix?doc=/Archives/edgar/data/1585608/000119312526281969/d110630d8k.htm" TargetMode="External"/><Relationship Id="rId34" Type="http://schemas.openxmlformats.org/officeDocument/2006/relationships/hyperlink" Target="http://www.sec.gov/Archives/edgar/data/../../../ix?doc=/Archives/edgar/data/1585608/000119312526292677/d145900d8k.htm" TargetMode="External"/><Relationship Id="rId35" Type="http://schemas.openxmlformats.org/officeDocument/2006/relationships/hyperlink" Target="http://www.sec.gov/Archives/edgar/data/../../../ix?doc=/Archives/edgar/data/1585608/000119312526303190/d144017d8k.htm" TargetMode="External"/><Relationship Id="rId36" Type="http://schemas.openxmlformats.org/officeDocument/2006/relationships/hyperlink" Target="http://www.sec.gov/Archives/edgar/data/../../../ix?doc=/Archives/edgar/data/1585608/000119312526356915/d380271d8k.htm" TargetMode="External"/><Relationship Id="rId37" Type="http://schemas.openxmlformats.org/officeDocument/2006/relationships/hyperlink" Target="http://www.sec.gov/Archives/edgar/data/../../../ix?doc=/Archives/edgar/data/1585608/000119312526383673/d111700d8k.htm" TargetMode="External"/><Relationship Id="rId38" Type="http://schemas.openxmlformats.org/officeDocument/2006/relationships/hyperlink" Target="http://www.sec.gov/Archives/edgar/data/../../../ix?doc=/Archives/edgar/data/1585608/000119312526391415/d105876d8k.htm" TargetMode="External"/><Relationship Id="rId39" Type="http://schemas.openxmlformats.org/officeDocument/2006/relationships/hyperlink" Target="http://www.sec.gov/Archives/edgar/data/../../../ix?doc=/Archives/edgar/data/1585608/000119312526391682/d162139d8k.htm" TargetMode="External"/><Relationship Id="rId40" Type="http://schemas.openxmlformats.org/officeDocument/2006/relationships/hyperlink" Target="http://www.sec.gov/Archives/edgar/data/../../../ix?doc=/Archives/edgar/data/1585608/000119312526396752/d79729d8k.htm" TargetMode="External"/><Relationship Id="rId41" Type="http://schemas.openxmlformats.org/officeDocument/2006/relationships/hyperlink" Target="http://www.sec.gov/Archives/edgar/data/../../../ix?doc=/Archives/edgar/data/1585608/000119312526400087/d161376d8k.htm" TargetMode="External"/><Relationship Id="rId42" Type="http://schemas.openxmlformats.org/officeDocument/2006/relationships/hyperlink" Target="http://www.sec.gov/Archives/edgar/data/../../../ix?doc=/Archives/edgar/data/1585608/000119312526401239/d130901d8k.htm" TargetMode="External"/><Relationship Id="rId43" Type="http://schemas.openxmlformats.org/officeDocument/2006/relationships/hyperlink" Target="http://www.sec.gov/Archives/edgar/data/../../../ix?doc=/Archives/edgar/data/1585608/000119312526403356/d187815d8k.htm" TargetMode="External"/><Relationship Id="rId44" Type="http://schemas.openxmlformats.org/officeDocument/2006/relationships/hyperlink" Target="http://www.sec.gov/Archives/edgar/data/../../../ix?doc=/Archives/edgar/data/1585608/000119312526413233/d183888d8k.htm" TargetMode="External"/><Relationship Id="rId45" Type="http://schemas.openxmlformats.org/officeDocument/2006/relationships/hyperlink" Target="http://www.sec.gov/Archives/edgar/data/../../../ix?doc=/Archives/edgar/data/1585608/000119312526010173/jagx-20260106.htm" TargetMode="External"/><Relationship Id="rId46" Type="http://schemas.openxmlformats.org/officeDocument/2006/relationships/hyperlink" Target="http://www.sec.gov/Archives/edgar/data/../../../ix?doc=/Archives/edgar/data/1585608/000119312526277570/d121487d8ka.htm" TargetMode="External"/><Relationship Id="rId47" Type="http://schemas.openxmlformats.org/officeDocument/2006/relationships/hyperlink" Target="http://www.sec.gov/Archives/edgar/data/1585608/000155837020003581/jagx-20191231ex426e78444.htm" TargetMode="External"/><Relationship Id="rId48" Type="http://schemas.openxmlformats.org/officeDocument/2006/relationships/image" Target="media/image2.jpeg"/><Relationship Id="rId49" Type="http://schemas.openxmlformats.org/officeDocument/2006/relationships/hyperlink" Target="http://www.sec.gov/Archives/edgar/data/1585608/000110465917048146/a17-18650_1ex3d1.htm" TargetMode="External"/><Relationship Id="rId50" Type="http://schemas.openxmlformats.org/officeDocument/2006/relationships/hyperlink" Target="http://www.sec.gov/Archives/edgar/data/1585608/000104746918002654/a2235058zex-3_2.htm" TargetMode="External"/><Relationship Id="rId51" Type="http://schemas.openxmlformats.org/officeDocument/2006/relationships/hyperlink" Target="http://www.sec.gov/Archives/edgar/data/1585608/000110465918037457/a18-14619_1ex3d1.htm" TargetMode="External"/><Relationship Id="rId52" Type="http://schemas.openxmlformats.org/officeDocument/2006/relationships/hyperlink" Target="http://www.sec.gov/Archives/edgar/data/1585608/000110465918037457/a18-14619_1ex3d2.htm" TargetMode="External"/><Relationship Id="rId53" Type="http://schemas.openxmlformats.org/officeDocument/2006/relationships/hyperlink" Target="http://www.sec.gov/Archives/edgar/data/1585608/000110465919034310/a19-11153_1ex3d1.htm" TargetMode="External"/><Relationship Id="rId54" Type="http://schemas.openxmlformats.org/officeDocument/2006/relationships/hyperlink" Target="http://www.sec.gov/Archives/edgar/data/1585608/000114420415032005/v410855_ex3-2.htm" TargetMode="External"/><Relationship Id="rId55" Type="http://schemas.openxmlformats.org/officeDocument/2006/relationships/hyperlink" Target="http://www.sec.gov/Archives/edgar/data/1585608/000110465920101650/a20-30008_1ex3d1.htm" TargetMode="External"/><Relationship Id="rId56" Type="http://schemas.openxmlformats.org/officeDocument/2006/relationships/hyperlink" Target="http://www.sec.gov/Archives/edgar/data/1585608/000110465920101650/a20-30008_1ex3d2.htm" TargetMode="External"/><Relationship Id="rId57" Type="http://schemas.openxmlformats.org/officeDocument/2006/relationships/hyperlink" Target="http://www.sec.gov/Archives/edgar/data/1585608/000110465920103492/a20-30008_3ex3d1.htm" TargetMode="External"/><Relationship Id="rId58" Type="http://schemas.openxmlformats.org/officeDocument/2006/relationships/hyperlink" Target="http://www.sec.gov/Archives/edgar/data/1585608/000110465920133964/a20-37959_1ex3d1.htm" TargetMode="External"/><Relationship Id="rId59" Type="http://schemas.openxmlformats.org/officeDocument/2006/relationships/hyperlink" Target="http://www.sec.gov/Archives/edgar/data/1585608/000110465921113000/tm2126958d1_ex3-1.htm" TargetMode="External"/><Relationship Id="rId60" Type="http://schemas.openxmlformats.org/officeDocument/2006/relationships/hyperlink" Target="http://www.sec.gov/Archives/edgar/data/1585608/000110465922035625/tm229716d1_ex3-1.htm" TargetMode="External"/><Relationship Id="rId61" Type="http://schemas.openxmlformats.org/officeDocument/2006/relationships/hyperlink" Target="http://www.sec.gov/Archives/edgar/data/1585608/000110465922093712/tm2224333d1_ex3-1.htm" TargetMode="External"/><Relationship Id="rId62" Type="http://schemas.openxmlformats.org/officeDocument/2006/relationships/hyperlink" Target="http://www.sec.gov/Archives/edgar/data/1585608/000110465922104637/tm2227154d1_ex3-1.htm" TargetMode="External"/><Relationship Id="rId63" Type="http://schemas.openxmlformats.org/officeDocument/2006/relationships/hyperlink" Target="http://www.sec.gov/Archives/edgar/data/1585608/000110465922119584/tm2229955d2_ex3-1.htm" TargetMode="External"/><Relationship Id="rId64" Type="http://schemas.openxmlformats.org/officeDocument/2006/relationships/hyperlink" Target="http://www.sec.gov/Archives/edgar/data/1585608/000110465923005489/tm234025d1_ex3-1.htm" TargetMode="External"/><Relationship Id="rId65" Type="http://schemas.openxmlformats.org/officeDocument/2006/relationships/hyperlink" Target="http://www.sec.gov/Archives/edgar/data/1585608/000110465923057501/tm2315061d1_ex3-1.htm" TargetMode="External"/><Relationship Id="rId66" Type="http://schemas.openxmlformats.org/officeDocument/2006/relationships/hyperlink" Target="http://www.sec.gov/Archives/edgar/data/1585608/000110465923077663/tm2320100d1_ex3-1.htm" TargetMode="External"/><Relationship Id="rId67" Type="http://schemas.openxmlformats.org/officeDocument/2006/relationships/hyperlink" Target="http://www.sec.gov/Archives/edgar/data/1585608/000110465923107248/tm2327745d1_ex3-1.htm" TargetMode="External"/><Relationship Id="rId68" Type="http://schemas.openxmlformats.org/officeDocument/2006/relationships/hyperlink" Target="http://www.sec.gov/Archives/edgar/data/1585608/000110465924030064/tm247635d1_ex3-1.htm" TargetMode="External"/><Relationship Id="rId69" Type="http://schemas.openxmlformats.org/officeDocument/2006/relationships/hyperlink" Target="http://www.sec.gov/Archives/edgar/data/1585608/000110465924064484/tm2415080d1_ex3-1.htm" TargetMode="External"/><Relationship Id="rId70" Type="http://schemas.openxmlformats.org/officeDocument/2006/relationships/hyperlink" Target="http://www.sec.gov/Archives/edgar/data/1585608/000095017025028403/jagx-ex3_1.htm" TargetMode="External"/><Relationship Id="rId71" Type="http://schemas.openxmlformats.org/officeDocument/2006/relationships/hyperlink" Target="http://www.sec.gov/Archives/edgar/data/1585608/000095017025040784/jagx-ex3_1.htm" TargetMode="External"/><Relationship Id="rId72" Type="http://schemas.openxmlformats.org/officeDocument/2006/relationships/hyperlink" Target="http://www.sec.gov/Archives/edgar/data/1585608/000119312525120763/d63848dex31.htm" TargetMode="External"/><Relationship Id="rId73" Type="http://schemas.openxmlformats.org/officeDocument/2006/relationships/hyperlink" Target="http://www.sec.gov/Archives/edgar/data/1585608/000119312525152345/d14926dex31.htm" TargetMode="External"/><Relationship Id="rId74" Type="http://schemas.openxmlformats.org/officeDocument/2006/relationships/hyperlink" Target="http://www.sec.gov/Archives/edgar/data/1585608/000119312525201351/d947025dex31.htm" TargetMode="External"/><Relationship Id="rId75" Type="http://schemas.openxmlformats.org/officeDocument/2006/relationships/hyperlink" Target="http://www.sec.gov/Archives/edgar/data/1585608/000119312526086882/d236488dex31.htm" TargetMode="External"/><Relationship Id="rId76" Type="http://schemas.openxmlformats.org/officeDocument/2006/relationships/hyperlink" Target="http://www.sec.gov/Archives/edgar/data/1585608/000119312526165120/d10648dex31.htm" TargetMode="External"/><Relationship Id="rId77" Type="http://schemas.openxmlformats.org/officeDocument/2006/relationships/hyperlink" Target="http://www.sec.gov/Archives/edgar/data/1585608/000119312526179391/d109088dex31.htm" TargetMode="External"/><Relationship Id="rId78" Type="http://schemas.openxmlformats.org/officeDocument/2006/relationships/hyperlink" Target="http://www.sec.gov/Archives/edgar/data/1585608/000119312526231083/d227929dex31.htm" TargetMode="External"/><Relationship Id="rId79" Type="http://schemas.openxmlformats.org/officeDocument/2006/relationships/hyperlink" Target="http://www.sec.gov/Archives/edgar/data/1585608/000119312526266770/d570985dex31.htm" TargetMode="External"/><Relationship Id="rId80" Type="http://schemas.openxmlformats.org/officeDocument/2006/relationships/hyperlink" Target="http://www.sec.gov/Archives/edgar/data/1585608/000119312526391415/d105876dex31.htm" TargetMode="External"/><Relationship Id="rId81" Type="http://schemas.openxmlformats.org/officeDocument/2006/relationships/hyperlink" Target="http://www.sec.gov/Archives/edgar/data/1585608/000119312526396752/d79729dex31.htm" TargetMode="External"/><Relationship Id="rId82" Type="http://schemas.openxmlformats.org/officeDocument/2006/relationships/hyperlink" Target="http://www.sec.gov/Archives/edgar/data/1585608/000119312526413233/d183888dex31.htm" TargetMode="External"/><Relationship Id="rId83" Type="http://schemas.openxmlformats.org/officeDocument/2006/relationships/hyperlink" Target="http://www.sec.gov/Archives/edgar/data/1585608/000110465918037457/a18-14619_1ex4d1.htm" TargetMode="External"/><Relationship Id="rId84" Type="http://schemas.openxmlformats.org/officeDocument/2006/relationships/image" Target="media/image3.jpeg"/><Relationship Id="rId85" Type="http://schemas.openxmlformats.org/officeDocument/2006/relationships/image" Target="media/image4.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22277</Words>
  <Characters>120093</Characters>
  <CharactersWithSpaces>142790</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