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28075d424b3.htm"/>
        <w:bookmarkStart w:id="1" w:name="ksd228075d424b3"/>
        <w:bookmarkEnd w:id="0"/>
        <w:bookmarkEnd w:id="1"/>
        <w:r>
          <w:rPr>
            <w:rStyle w:val="InternetLink"/>
            <w:b/>
            <w:sz w:val="20"/>
          </w:rPr>
          <w:t>Table of Contents</w:t>
        </w:r>
      </w:hyperlink>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333-297489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9260" cy="1116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69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Resale of up to 40,874,552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relates to the potential resale from time to time by the selling stockholders identified herein (the “Selling Stockholders”) of up to 40,874,552 shares of voting common stock, par value $0.0001 per share, of Jaguar Health, Inc. (the “Company,” “we,” “our” or “us”). The shares of common stock to which this prospectus consist of shares that have been or may be issued by us to the Selling Stockholders pursuant to a common stock purchase agreement, dated as of June 9, 2026, by and between us and C/M Capital Master Fund, LP (“C/M Capital”), one of the Selling Stockholders (the “Purchase Agreement”), establishing an equity line of credit. Such shares of our common stock include (i) up to 40,000,000 shares of common stock, or the Purchase Shares, that we may elect, in our sole discretion, subject to the restrictions and satisfaction of the conditions in the Purchase Agreement, to issue and sell to the Selling Stockholders, from time to time from and after the Commencement Date (as defined below) under the Purchase Agreement, and subject to applicable stock exchange rules, and (ii) up to 874,552 shares of common stock (the “Commitment Shares”), of which 257,898 shares have been issued as of the date of this prospectus to the Selling Stockholders and 616,654 shares are issuable upon exercise of the pre-funded warrants to purchase common stock (the “Commitment Pre-Funded Warrants”) that have been issued to the Selling Stockholders, as consideration for C/M Capital’s execution and delivery of the Purchase Agreement. </w:t>
      </w:r>
    </w:p>
    <w:p>
      <w:pPr>
        <w:pStyle w:val="TextBody"/>
        <w:bidi w:val="0"/>
        <w:spacing w:before="120" w:after="0"/>
        <w:jc w:val="left"/>
        <w:rPr>
          <w:rFonts w:ascii="Times New Roman" w:hAnsi="Times New Roman"/>
          <w:sz w:val="18"/>
        </w:rPr>
      </w:pPr>
      <w:r>
        <w:rPr>
          <w:rFonts w:ascii="Times New Roman" w:hAnsi="Times New Roman"/>
          <w:sz w:val="18"/>
        </w:rPr>
        <w:t xml:space="preserve">The actual number of shares of our common stock issuable will vary depending on the then-current market price of shares of our common stock sold to the Selling Stockholders under the Purchase Agreement, but will not exceed the number set forth in the preceding paragraphs unless we file an additional registration statement under the Securities Act of 1933, as amended (“Securities Act”), with the U.S. Securities and Exchange Commission (the “SEC”). </w:t>
      </w:r>
    </w:p>
    <w:p>
      <w:pPr>
        <w:pStyle w:val="TextBody"/>
        <w:bidi w:val="0"/>
        <w:spacing w:before="120" w:after="0"/>
        <w:jc w:val="left"/>
        <w:rPr>
          <w:rFonts w:ascii="Times New Roman" w:hAnsi="Times New Roman"/>
          <w:sz w:val="18"/>
        </w:rPr>
      </w:pPr>
      <w:r>
        <w:rPr>
          <w:rFonts w:ascii="Times New Roman" w:hAnsi="Times New Roman"/>
          <w:sz w:val="18"/>
        </w:rPr>
        <w:t xml:space="preserve">We are not selling any securities under this prospectus and will not receive any of the proceeds from the sale of the shares of our common stock by the Selling Stockholders. Additionally, we will not receive any proceeds from the issuance or sale of any Commitment Shares. However, we may receive up to $40 million in aggregate gross proceeds from the sale of the shares of common stock to the Selling Stockholder under the Purchase Agreement, from time to time in our discretion, subject to the restrictions and satisfaction of the conditions in the Purchase Agreement, after the date the registration statement that includes this prospectus is declared effective and after satisfaction of other conditions in the Purchase Agreement. The actual proceeds from the Selling Stockholders may be less than this amount depending on the number of shares of our common stock sold and the price at which the shares of our common stock are sold. </w:t>
      </w:r>
    </w:p>
    <w:p>
      <w:pPr>
        <w:pStyle w:val="TextBody"/>
        <w:bidi w:val="0"/>
        <w:spacing w:before="120" w:after="0"/>
        <w:jc w:val="left"/>
        <w:rPr>
          <w:rFonts w:ascii="Times New Roman" w:hAnsi="Times New Roman"/>
          <w:sz w:val="18"/>
        </w:rPr>
      </w:pPr>
      <w:r>
        <w:rPr>
          <w:rFonts w:ascii="Times New Roman" w:hAnsi="Times New Roman"/>
          <w:sz w:val="18"/>
        </w:rPr>
        <w:t>The Selling Stockholders may offer, sell or distribute all or a portion of the shares of our common stock acquired under the Purchase Agreement and hereby registered publicly or through private transactions at prevailing market prices or at negotiated prices. We will bear all costs, expenses and fees in connection with the registration of the shares of our common stock, including with regard to compliance with state securities or “blue sky” laws. The Selling Stockholders will bear all commissions and discounts, if any, attributable to its sale of shares of our common stock. See “</w:t>
      </w:r>
      <w:r>
        <w:rPr>
          <w:rFonts w:ascii="Times New Roman" w:hAnsi="Times New Roman"/>
          <w:i/>
          <w:sz w:val="18"/>
          <w:u w:val="single"/>
        </w:rPr>
        <w:t>Plan of Distribution</w:t>
      </w:r>
      <w:r>
        <w:rPr>
          <w:rFonts w:ascii="Times New Roman" w:hAnsi="Times New Roman"/>
          <w:sz w:val="18"/>
        </w:rPr>
        <w:t xml:space="preserve">” for more information about how the Selling Stockholders may sell or otherwise dispose of the shares of common stock being registered pursuant to this prospectus. Each of the Selling Stockholders is an underwriter under the Securities Act with respect to the resale of shares held by it. </w:t>
      </w:r>
    </w:p>
    <w:p>
      <w:pPr>
        <w:pStyle w:val="TextBody"/>
        <w:bidi w:val="0"/>
        <w:spacing w:before="120" w:after="0"/>
        <w:jc w:val="left"/>
        <w:rPr>
          <w:rFonts w:ascii="Times New Roman" w:hAnsi="Times New Roman"/>
          <w:sz w:val="18"/>
        </w:rPr>
      </w:pPr>
      <w:r>
        <w:rPr>
          <w:rFonts w:ascii="Times New Roman" w:hAnsi="Times New Roman"/>
          <w:sz w:val="18"/>
        </w:rPr>
        <w:t>You should read this prospectus and any prospectus supplement or amendment, together with additional information described under the headings “</w:t>
      </w:r>
      <w:r>
        <w:rPr>
          <w:rFonts w:ascii="Times New Roman" w:hAnsi="Times New Roman"/>
          <w:i/>
          <w:sz w:val="18"/>
          <w:u w:val="single"/>
        </w:rPr>
        <w:t>Where You Can Find More Information</w:t>
      </w:r>
      <w:r>
        <w:rPr>
          <w:rFonts w:ascii="Times New Roman" w:hAnsi="Times New Roman"/>
          <w:sz w:val="18"/>
        </w:rPr>
        <w:t xml:space="preserve">”, carefully before you invest in our securities.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is listed on the Nasdaq Capital Market (“Nasdaq”) under the symbol “JAGX.” On August 14, 2026, the last reported sales price of our common stock on Nasdaq was $0.92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2"/>
        </w:rPr>
        <w:t>Investing in our securities involves a high degree of risk. You should review carefully the risks and uncertainties described under the heading “</w:t>
      </w:r>
      <w:hyperlink w:anchor="tx228075_5">
        <w:r>
          <w:rPr>
            <w:rStyle w:val="InternetLink"/>
            <w:rFonts w:ascii="Times New Roman" w:hAnsi="Times New Roman"/>
            <w:b/>
            <w:i/>
            <w:sz w:val="22"/>
          </w:rPr>
          <w:t>Risk Factors</w:t>
        </w:r>
      </w:hyperlink>
      <w:r>
        <w:rPr>
          <w:rFonts w:ascii="Times New Roman" w:hAnsi="Times New Roman"/>
          <w:sz w:val="22"/>
        </w:rPr>
        <w:t xml:space="preserve">” </w:t>
      </w:r>
      <w:r>
        <w:rPr>
          <w:rFonts w:ascii="Times New Roman" w:hAnsi="Times New Roman"/>
          <w:b/>
          <w:sz w:val="22"/>
        </w:rPr>
        <w:t xml:space="preserve">beginning on page 13 of this prospectus, and under similar headings in any amendment or supplement to this prospectus or in any other documents incorporated by reference into this prospectus.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August 14,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280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2">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6">
              <w:r>
                <w:rPr>
                  <w:rStyle w:val="InternetLink"/>
                  <w:rFonts w:ascii="Times New Roman" w:hAnsi="Times New Roman"/>
                  <w:sz w:val="20"/>
                </w:rPr>
                <w:t>THE COMMITTED EQUITY FINANCING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9">
              <w:r>
                <w:rPr>
                  <w:rStyle w:val="InternetLink"/>
                  <w:rFonts w:ascii="Times New Roman" w:hAnsi="Times New Roman"/>
                  <w:sz w:val="20"/>
                </w:rPr>
                <w:t>THE SELLING STOCKHOLDER</w:t>
              </w:r>
            </w:hyperlink>
            <w:r>
              <w:rPr>
                <w:rFonts w:ascii="Times New Roman" w:hAnsi="Times New Roman"/>
                <w:sz w:val="20"/>
              </w:rPr>
              <w: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11">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228075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22807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 pursuant to which the Selling Stockholders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t>
      </w:r>
      <w:r>
        <w:rPr>
          <w:rFonts w:ascii="Times New Roman" w:hAnsi="Times New Roman"/>
          <w:i/>
          <w:sz w:val="20"/>
          <w:u w:val="single"/>
        </w:rPr>
        <w:t>Where You Can Find More Information</w:t>
      </w:r>
      <w:r>
        <w:rPr>
          <w:rFonts w:ascii="Times New Roman" w:hAnsi="Times New Roman"/>
          <w:sz w:val="20"/>
        </w:rPr>
        <w:t>” and “</w:t>
      </w:r>
      <w:r>
        <w:rPr>
          <w:rFonts w:ascii="Times New Roman" w:hAnsi="Times New Roman"/>
          <w:i/>
          <w:sz w:val="20"/>
          <w:u w:val="single"/>
        </w:rPr>
        <w:t>Incorporation of Certain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when used in this report, the terms the “Company,” “Jaguar,” “we,” “us, “our” and similar terms refer to Jaguar Health,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228075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forward-looking statements including, but not limited to, statements regarding our liquidity, anticipated capital expenditures, and expected sales to the Selling Stockholders. </w:t>
      </w:r>
    </w:p>
    <w:p>
      <w:pPr>
        <w:pStyle w:val="TextBody"/>
        <w:bidi w:val="0"/>
        <w:spacing w:before="240" w:after="0"/>
        <w:jc w:val="left"/>
        <w:rPr>
          <w:rFonts w:ascii="Times New Roman" w:hAnsi="Times New Roman"/>
          <w:sz w:val="20"/>
        </w:rPr>
      </w:pPr>
      <w:r>
        <w:rPr>
          <w:rFonts w:ascii="Times New Roman" w:hAnsi="Times New Roman"/>
          <w:sz w:val="20"/>
        </w:rPr>
        <w:t>All statements other than statements of historical facts contained in this prospectus, including statements regarding our future financial position, liquidity, business strategy and plans and objectives of management for future operations, are forward-looking statements. The words “believe,” “may,” “estimate,” “continue,” “anticipate,” “intend,” “should,” “plan,” “could,” “target,” “potential,” “is likely,” “will,”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those described in “</w:t>
      </w:r>
      <w:r>
        <w:rPr>
          <w:rFonts w:ascii="Times New Roman" w:hAnsi="Times New Roman"/>
          <w:sz w:val="20"/>
          <w:u w:val="single"/>
        </w:rPr>
        <w:t>Risk Factors</w:t>
      </w:r>
      <w:r>
        <w:rPr>
          <w:rFonts w:ascii="Times New Roman" w:hAnsi="Times New Roman"/>
          <w:sz w:val="20"/>
        </w:rPr>
        <w:t xml:space="preserve">” and elsewhere in this prospectus and in our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expressly disclaim any obligation or undertaking to update or revise any forward-looking statements contained herein to reflect events or circumstances after the date on which such statements were made or to reflect the occurrence of unanticipated events,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228075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in this prospectus or incorporated by reference. It may not contain all of the information that you should consider before investing in our securities. You should read this entire prospectus carefully, including the “Risk Factors” section, and the financial statements and related notes included or incorporated by reference herein. This prospectus includes forward-looking statements that involve risks and uncertainties.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Napo proposed two concurrent potential approaches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 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Line of Credit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the Purchase Agreement with C/M Capital, which provides that, upon the terms and subject to the conditions set forth therein, C/M Capital is committed to purchase up to an aggregate of $40 million of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w:t>
      </w:r>
      <w:r>
        <w:rPr>
          <w:rFonts w:ascii="Times New Roman" w:hAnsi="Times New Roman"/>
          <w:sz w:val="20"/>
          <w:u w:val="single"/>
          <w:bdr w:val="single" w:sz="8" w:space="1" w:color="000000"/>
        </w:rPr>
        <w:t>Fixed Purchase</w:t>
      </w:r>
      <w:r>
        <w:rPr>
          <w:rFonts w:ascii="Times New Roman" w:hAnsi="Times New Roman"/>
          <w:sz w:val="20"/>
          <w:bdr w:val="single" w:sz="8" w:space="1" w:color="000000"/>
        </w:rPr>
        <w:t xml:space="preserve">: on the Commencement Date (as defined in the Purchase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occur on or after the date of the Purchase Agreement (the “ELOC Floor Price”), the Company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w:t>
      </w:r>
      <w:r>
        <w:rPr>
          <w:rFonts w:ascii="Times New Roman" w:hAnsi="Times New Roman"/>
          <w:sz w:val="20"/>
          <w:u w:val="single"/>
          <w:bdr w:val="single" w:sz="8" w:space="1" w:color="000000"/>
        </w:rPr>
        <w:t>VWAP Purchase</w:t>
      </w:r>
      <w:r>
        <w:rPr>
          <w:rFonts w:ascii="Times New Roman" w:hAnsi="Times New Roman"/>
          <w:sz w:val="20"/>
          <w:bdr w:val="single" w:sz="8" w:space="1" w:color="000000"/>
        </w:rPr>
        <w:t xml:space="preserve">: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(iii) </w:t>
      </w:r>
      <w:r>
        <w:rPr>
          <w:rFonts w:ascii="Times New Roman" w:hAnsi="Times New Roman"/>
          <w:sz w:val="20"/>
          <w:u w:val="single"/>
          <w:bdr w:val="single" w:sz="8" w:space="1" w:color="000000"/>
        </w:rPr>
        <w:t>Additional VWAP Purchase</w:t>
      </w:r>
      <w:r>
        <w:rPr>
          <w:rFonts w:ascii="Times New Roman" w:hAnsi="Times New Roman"/>
          <w:sz w:val="20"/>
          <w:bdr w:val="single" w:sz="8" w:space="1" w:color="000000"/>
        </w:rPr>
        <w:t xml:space="preserve">: on the Commencement Date and from time to time thereafter, subject to the satisfaction of certain conditions, in addition to the Fixed Purchase and VWAP Purchase, the Company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the Company’s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C/M Capital’s execution and delivery of the Purchase Agreement, the Company agreed to issue to the Selling Stockholders on the effective date of the ELOC Registration Statement (as defined hereunder) $800,000 worth of the Company’s common stock, valued at the VWAP Purchase Price as of such effective date (the “Commitment Shares”). The Commitment Shares will be included in the ELOC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until either the stockholder approval (as defined in the Purchase Agreement) (the “Stockholder Approval for the ELOC”) is obtained or certain other conditions are met, the Company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outstanding immediately prior to the execution of the Purchase Agreement. As previously reported, the Company reconvened its 2026 annual meeting of stockholders (the “Annual Meeting”) on June 8, 2026 and obtained, among others, the Stockholder Approval for the ELOC.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earlier terminated as provided thereunder, the Purchase Agreement shall terminate automatically on the earliest to occur of (i) the expiration of the ELOC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includes representations, warranties, and covenants customary for a transaction of this type.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Purchase Agreement, the Company entered into a registration rights agreement with C/M Capital (the “ELOC Registration Rights Agreement”), pursuant to which the Company is required to file a registration statement on Form S-1 (the “ELOC Registration Statement”) within 30 days after the execution date of the Purchase Agreement, to register the resale of all of (i) the shares of common stock to be sold and issued by the Company to the Selling Stockholders under the Purchase Agreement, (ii) the Commitment Shares, and (iii) any securities of the Company issued or issuable with respect to the forementioned shares or Commitment Shares. The Company shall use its commercially reasonable efforts to have the ELOC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P Preferred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securities purchase agreements (each a “Preferred Stock Purchase Agreement” and collectively, the “Preferred Stock Purchase Agreements”) with certain investors named therein, including C/M Capital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Preferred Stock Purchase Agreements, the Company entered into a registration rights agreement with the Investors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2026, the Company announced that its board of directors declared a special one-time dividend of one-tenth of one share of Series O Preferred Stock for each share of voting common stock outstanding, plus each share issuable upon exercise of certain warrants to purchase, in aggregate, 2,400,765 shares of common stock with dividend rights outstanding (the “Eligible Warrants”), at the close of business on March 2, 2026. The preferred stock dividend was paid on March 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potential issuance of a large number of shares of common stock upon the conversion of our Series O Preferred Stock may have a negative effect on the trading price of our common stock as well as a significant dilutive effect. See “</w:t>
      </w:r>
      <w:r>
        <w:rPr>
          <w:rFonts w:ascii="Times New Roman" w:hAnsi="Times New Roman"/>
          <w:i/>
          <w:sz w:val="20"/>
          <w:u w:val="single"/>
          <w:bdr w:val="single" w:sz="8" w:space="1" w:color="000000"/>
        </w:rPr>
        <w:t>Risk Factors – Risks Related to the Preferred Stock Dividend</w:t>
      </w:r>
      <w:r>
        <w:rPr>
          <w:rFonts w:ascii="Times New Roman" w:hAnsi="Times New Roman"/>
          <w:sz w:val="20"/>
          <w:bdr w:val="single" w:sz="8" w:space="1" w:color="000000"/>
        </w:rPr>
        <w:t xml:space="preserve">” in our Annual Report on Form 10-K for the year ended December 31, 2025 filed with the SEC on April 7,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Conversion of the Series O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25, 2026, the Company completed the conversion (the “Conversion”) of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w:t>
      </w:r>
      <w:r>
        <w:rPr>
          <w:rFonts w:ascii="Times New Roman" w:hAnsi="Times New Roman"/>
          <w:sz w:val="20"/>
          <w:u w:val="single"/>
          <w:bdr w:val="single" w:sz="8" w:space="1" w:color="000000"/>
        </w:rPr>
        <w:t>https://jaguar.health.com</w:t>
      </w:r>
      <w:r>
        <w:rPr>
          <w:rFonts w:ascii="Times New Roman" w:hAnsi="Times New Roman"/>
          <w:sz w:val="20"/>
          <w:bdr w:val="single" w:sz="8" w:space="1" w:color="000000"/>
        </w:rPr>
        <w:t xml:space="preserve">. The information contained on, or that can be accessed through, our website is not part of this annual report. Our voting common stock is listed on the Nasdaq Capital Market and trades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228075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Stockholders </w:t>
            </w:r>
          </w:p>
        </w:tc>
        <w:tc>
          <w:tcPr>
            <w:tcW w:w="6329" w:type="dxa"/>
            <w:tcBorders/>
          </w:tcPr>
          <w:p>
            <w:pPr>
              <w:pStyle w:val="TableContents"/>
              <w:bidi w:val="0"/>
              <w:spacing w:before="0" w:after="283"/>
              <w:jc w:val="left"/>
              <w:rPr/>
            </w:pPr>
            <w:r>
              <w:rPr/>
              <w:t xml:space="preserve">40,874,552 shares of our common stock, consisting of (i) up to 40,000,000 Purchase Shares that may be issued by us to the Selling Stockholders, from time to time at our sole discretion, pursuant to the Purchase Agreement, and (ii) up to 874,552 Commitment Shares, of which 257,898 shares are issued and outstanding as of the date of this prospectus to the Selling Stockholders and 616,654 shares are issuable upon exercise of the Commitment Pre-Funded Warrants that have been issued to the Selling Stockholders as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prior to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following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45,784,954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Terms of the offering </w:t>
            </w:r>
          </w:p>
        </w:tc>
        <w:tc>
          <w:tcPr>
            <w:tcW w:w="6330" w:type="dxa"/>
            <w:tcBorders/>
          </w:tcPr>
          <w:p>
            <w:pPr>
              <w:pStyle w:val="TableContents"/>
              <w:bidi w:val="0"/>
              <w:spacing w:before="0" w:after="283"/>
              <w:jc w:val="left"/>
              <w:rPr/>
            </w:pPr>
            <w:r>
              <w:rPr/>
              <w:t xml:space="preserve">The Selling Stockholders will determine when and how they will dispose of any shares of our common stock that are registered under this prospectus for resale.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will not receive any of the proceeds from the sale of shares of our common stock offered by the Selling Stockholders. Additionally, we will not receive any proceeds from the issuance or sale of any Commitment Shares. We may receive up to $40,000,000 in aggregate gross proceeds from C/M Capital under the Purchase Agreement in connection with sales of our shares of our common stock to C/M Capital pursuant to the Purchase Agreement after the date of this prospectus. However, the actual proceeds may be less than this amount depending on the number of shares of our common stock sold and the price at which the shares of our common stock are sold. We intend to use of the net proceeds that we receive under the Purchase Agreement for working capital and other general corporate purposes, including the redemption of shares of Series P Preferred Stock in accordance with the terms of the Certificate of Designation for the Series P Preferred Stock. However, as of the date of this prospectus, we cannot specify with certainty all of the particular uses, and the respective amounts we may allocate to those uses, for any net proceeds we receive. See “Use of Proceeds” on page 21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Stock Symbol </w:t>
            </w:r>
          </w:p>
        </w:tc>
        <w:tc>
          <w:tcPr>
            <w:tcW w:w="6328" w:type="dxa"/>
            <w:tcBorders/>
          </w:tcPr>
          <w:p>
            <w:pPr>
              <w:pStyle w:val="TableContents"/>
              <w:bidi w:val="0"/>
              <w:spacing w:before="0" w:after="283"/>
              <w:jc w:val="left"/>
              <w:rPr/>
            </w:pPr>
            <w:r>
              <w:rPr/>
              <w:t xml:space="preserve">JAGX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9" w:type="dxa"/>
            <w:tcBorders/>
          </w:tcPr>
          <w:p>
            <w:pPr>
              <w:pStyle w:val="TableContents"/>
              <w:bidi w:val="0"/>
              <w:spacing w:before="0" w:after="283"/>
              <w:jc w:val="left"/>
              <w:rPr/>
            </w:pPr>
            <w:r>
              <w:rPr/>
              <w:t xml:space="preserve">Equiniti Trust Company, LLC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7,484 shares of common stock issuable upon exercise of pre-funded warrants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5,293 shares of common stock issuable upon exercise of outstanding options under the 2014 Stock Incentive Plan, with a weighted-average exercise price of $205.44;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10,591 shares of common stock that remain available for grant under the 2014 Stock Incentive Plan and 469 shares of Common Stock that remain available under the 2020 Employee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4,573 shares of common stock issuable upon vesting of outstanding restricted stock unit awards (“RSUs”) under the 2014 Stock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or settlement of outstanding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228075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purchasing the securities offered by this prospectus you should carefully read the risk factors incorporated by reference in this prospectus from our Annual Report on Form 10-K for the year ended December 31, 2025 filed with the SEC on April 7, 2026, our Quarterly Report on Form 10-Q for the period ending March 31, 2026 filed with the SEC on May 20, 2026, as well as the risks, uncertainties and additional information set forth in the other documents incorporated by reference in this prospectus that we file with the SEC after the date of this prospectus and which are deemed incorporated by reference in this prospectus, and the information contained in any applicable prospectus supplement. For a description of these reports and documents, and information about where you can find them, see “Incorporation of Certain Information by Reference.” The risks and uncertainties we discuss in this prospectus and in the documents incorporated by reference in this prospectus are those that we currently believe may materially affect our company. Additional risks not presently known, or currently deemed immaterial, also could materially and adversely affect our financial condition, results of operations, business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Committed Equity Financing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C/M Capital shall, subject to the restrictions and satisfaction of the conditions in the Purchase Agreement, purchase from us up to $40,000,000 of shares of common stock, upon the terms and subject to the conditions and limitations set forth in the Purchase Agreement (such amount, the “Commitment Amount”). We have registered 40,000,000 shares (excluding the Commitment Shares) for future issuance under the Purchase Agreement and resale pursuant to this prospectus. The shares of our common stock that may be issued under the Purchase Agreement may be sold, subject to the restrictions and satisfaction of the conditions in the Purchase Agreement, by us to C/M Capital at our discretion from time to time from the Commencement Date (as defined below) until the earlier to occur of (i) the date on which C/M Capital shall have purchased the Commitment Amount, and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 right to commence any sales of common stock to C/M Capital under the Purchase Agreement until the time when all of the conditions to our right to commence sales of common stock to C/M Capital set forth in the Purchase Agreement have been satisfied, or the Commencement Date, including the effectiveness of the registration statement of which this prospectus forms a part. From and after the Commencement Date, we will generally have the right to control the timing and amount of any sales of our common stock to C/M Capital under the Purchase Agreement. Sales of our common stock, if any, to C/M Capital under the Purchase Agreement will depend upon market conditions, our capital needs, alternative financing options, and other factors to be determined by us in our sole discretion. We may ultimately decide to sell to C/M Capital all, some or none of the common stock that may be available for us to sell to C/M Capital pursuant to the Purchase Agreement. Accordingly, we cannot guarantee that we will be able to sell all of the Commitment Amount or how much in proceeds we may obtain under the Purchase Agreement. If we cannot sell securities under the Committed Equity Financing, we may be required to utilize more costly and time-consuming means of accessing the capital markets, which could have a material adverse effect on our liquidity and cash position.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of common stock to be paid by C/M Capital for the common stock that we may elect to sell to C/M Capital under the Purchase Agreement, if any, will fluctuate based on the market prices of our common stock at the time we make such election, it is not possible for us to predict, as of the date of this prospectus and prior to any such sales, the number of shares of common stock that we will sell to C/M Capital under the Purchase Agreement, the purchase price per share C/M Capital will pay for shares of common stock purchased from us under the Purchase Agreement, or the aggregate gross proceeds that we will receive from those purchases made by C/M Capital under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registering 40,874,552 shares of our common stock (including the Commitment Shares) under this prospectus. As of July 10, 2026, there were 4,910,402 shares of common stock outstanding. If all of the 40,874,552 shares of our common stock offered for resale by the Selling Stockholders under this prospectus were issued and outstanding as of July 10, 2026, such shares would represent in excess of 89.3% of total number of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our common stock issuable will vary depending on the then current market price of shares of our common stock sold to C/M Capital in this offering and the number of shares of our common stock we ultimately elect to sell to C/M Capital under the Purchase Agreement. If it becomes necessary for us to issue and sell to C/M Capital under the Purchase Agreement more than the amount of purchase shares being registered for resale under this prospectus in order to receive aggregate gross proceeds equal to $40,000,000 under the Purchase Agreement, we must file with the SEC one or more additional registration statements to register under the Securities Act the resale by C/M Capital of any such additional shares of our common stock we wish to sell from time to time under the Purchase Agreement, which the SEC must declare effective, in each case before we may elect to sell any additional shares of our common stock under the Purchase Agreement. Pursuant to the terms of the Purchase Agreement, until either the Company obtains the approval of stockholders pursuant to Nasdaq Listing Rule 5635(d) (“Rule 5635(d)”) (the “Stockholder Approval”) or certain other conditions are met, the Company shall not sell shares of Common Stock to C/M Capital under the Purchase Agreement to the extent that after giving effect thereto, the aggregate number of shares of common stock that would be issued pursuant to the Purchase Agreement would exceed 19.99% of the number of our shares of common stock issued and outstanding immediately prior to the execution of the Purchase Agreement. As previously reported, the Company reconvened its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C/M Capital is not obligated to buy any common stock under the Purchase Agreement if such shares, when aggregated with all other common stock then beneficially owned by C/M Capital and its affiliates (as calculated pursuant to Section 13(d) of the Securities Exchange Act, and Rule 13d-3 promulgated thereunder), would result in C/M Capital beneficially owning common stock in excess of 4.99% of the then-outstanding shares of common stock, or the Beneficial Ownership Limitation. Our inability to access a portion or the full amount available under the Purchase Agreement, in the absence of any other financing sources, could have a material adverse effect on our business or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C/M Capital will pay less than the then-prevailing market price for our common stock, which could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our common stock to be sold to C/M Capital under the Purchase Agreement is derived from the market price of our common stock on The Nasdaq Capital Market. Shares to be sold to C/M Capital pursuant to the Purchase Agreement will be purchased at a discounted price.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may effect sales to C/M Capital pursuant to a VWAP Purchase Notice at a purchase price equal to 95% of the lowest of (i) the VWAP for the applicable VWAP Purchase Period during the applicable VWAP Purchase Date for such VWAP Purchase, (ii) the lowest traded price of our common stock during the five trading days immediately preceding the VWAP Purchase Date, and (iii) the Closing Sale Price of our common stock on such applicable VWAP Purchase Date for such VWAP Purchase. This pricing mechanism means that shares will always be sold at a 5% or greater discount to market price. See “The Committed Equity Financing”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this pricing structure, C/M Capital may sell the shares it receives immediately after receipt of such shares, which could cause the price of our common stock to decrease. This immediate resale could create downward pressure on our stock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Investors who buy shares of common stock from C/M Capital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have discretion (subject to the restrictions and satisfaction of the conditions in the Purchase Agreement) to vary the timing, price and number of shares of common stock we sell to C/M Capital. If and when we elect to sell shares of common stock to C/M Capital pursuant to the Purchase Agreement, after it has acquired such shares, C/M Capital may resell all, some or none of such shares at any time or from time to time in its sole discretion and at different prices. As a result, investors who purchase shares from C/M Capital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C/M Capital in this offering as a result of future sales made by us to C/M Capital at prices lower than the prices such investors paid for their shares in this offering. In addition, if we sell a substantial number of shares to C/M Capital under the Purchase Agreement, or if investors expect that we will do so, the actual sales of shares or the mere existence of our arrangements with C/M Capital may make it more difficult for us to sell equity or equity-related securities in the future at a time and at a price that we might otherwise wish to effect such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resales and/or issuances of shares of common stock, including pursuant to this prospectus, or the perception that such sales may occur, may cause the market price of our shares to drop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Purchase Agreement, pursuant to which C/M Capital shall, subject to the restrictions and satisfaction of the conditions in the Purchase Agreement, purchase from us up to an aggregate of $40,000,000 of shares of common stock, upon the terms and subject to the conditions and limitations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subject to the restrictions and satisfaction of the conditions in the Purchase Agreement, by us to C/M Capital at our discretion from time to time from the date of effectiveness of the registration statement of which this prospectus forms a part until the earlier to occur of (i) the date on which C/M Capital shall have purchased the Commitment Amount, or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shares of our common stock that we may sell to C/M Capital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C/M Capital. Additional sales of shares of our common stock, if any, to the Selling Stockholders will depend upon market conditions and other factors to be determined by us. We may ultimately decide to sell to C/M Capital all, some or none of the additional shares of our common stock that may be available for us to sell pursuant to the Purchase Agreement. If and when we do sell shares of our common stock to C/M Capital, after it has acquired shares of our common stock, C/M Capital may resell all, some, or none of such shares of our common stock at any time or from time to time in its discretion and at different prices. Therefore, sales to C/M Capital by us could result in substantial dilution to the interests of other holders of shares of our common stock. In addition, if we sell a substantial number of shares of our common stock to C/M Capital under the Purchase Agreement, or if investors expect that we will do so, the shares held by C/M Capital will represent a significant portion of our public float and may result in substantial decreases to the price of our common stock. The actual sales of shares of our common stock or the mere existence of our arrangement with C/M Capital may also make it more difficult for us to sell equity or equity-related securities in the future at a time and at a price that we might otherwise wish to affect such sales </w:t>
      </w:r>
    </w:p>
    <w:p>
      <w:pPr>
        <w:pStyle w:val="TextBody"/>
        <w:bidi w:val="0"/>
        <w:spacing w:before="240" w:after="0"/>
        <w:jc w:val="left"/>
        <w:rPr>
          <w:rFonts w:ascii="Times New Roman" w:hAnsi="Times New Roman"/>
          <w:sz w:val="20"/>
        </w:rPr>
      </w:pPr>
      <w:r>
        <w:rPr>
          <w:rFonts w:ascii="Times New Roman" w:hAnsi="Times New Roman"/>
          <w:sz w:val="20"/>
        </w:rPr>
        <w:t xml:space="preserve">We presently have 76,077 shares of common stock issuable upon exercise of warrants outstanding (including pre-funded warrants), 5,293 shares of common stock issuable upon exercise of outstanding options under the 2014 Stock Incentive Plan, and 4,573 shares of common stock issuable upon vesting of outstanding restricted stock unit awards (“RSUs”) under the 2014 Stock Incentive Plan, respectively. Shares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issuable upon exercise or vesting of incentive awards under our equity compensation plans are, once issued, eligible for sale in the public market, subject to any lock-up agreements and, in some cases, limitations on volume and manner of sale applicable to affiliates under Rule 144. Furthermore, shares of our common stock reserved for future issuance under our equity compensation plans may become available for sale in the future.</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proceeds from sales of our common stock made pursuant to the Purchase Agreement in ways with which you may not agree or in ways which may not yield a significant return. </w:t>
      </w:r>
    </w:p>
    <w:p>
      <w:pPr>
        <w:pStyle w:val="TextBody"/>
        <w:bidi w:val="0"/>
        <w:spacing w:before="240" w:after="0"/>
        <w:jc w:val="left"/>
        <w:rPr>
          <w:rFonts w:ascii="Times New Roman" w:hAnsi="Times New Roman"/>
          <w:sz w:val="20"/>
        </w:rPr>
      </w:pPr>
      <w:r>
        <w:rPr>
          <w:rFonts w:ascii="Times New Roman" w:hAnsi="Times New Roman"/>
          <w:sz w:val="20"/>
        </w:rPr>
        <w:t xml:space="preserve">We will have broad discretion over the use of proceeds from sales of our common stock made pursuant to the Purchase Agreement, including for any of the purposes described in the section entitled “Use of Proceeds,” and you will not have the opportunity, as part of your investment decision, to assess whether the proceeds are being used appropriately.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do not raise debt or equity capital, we may not be able to pay all of our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extent we rely on C/M Capital as a source of funding will depend on a number of factors including, the prevailing market price of our common stock and volume of trading and the extent to which we are able to secure working capital from other sources. If obtaining sufficient funding from C/M Capital does not occur for any reason including C/M Capital suffering liquidity issues or failure of the Company to keep the registration statement current, we will need to secure other sources of funding in order to pay off our contractual obligations. Should the financing we require be unavailable or prohibitively expensive when we require it, such circumstances would likely have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228075_6"/>
      <w:bookmarkEnd w:id="8"/>
      <w:r>
        <w:rPr>
          <w:rFonts w:ascii="Times New Roman" w:hAnsi="Times New Roman"/>
          <w:b/>
          <w:sz w:val="20"/>
        </w:rPr>
        <w:t xml:space="preserve">THE COMMITTED EQUITY FINANCING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a common stock purchase agreement (the “Purchase Agreement”) with an accredited investor, C/M Capital Master Fund, LP (“C/M Capital”), which provides that, upon the terms and subject to the conditions set forth therein, C/M Capital is committed to purchase up to an aggregate of $40 million of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Fixed Purchase</w:t>
      </w:r>
      <w:r>
        <w:rPr>
          <w:rFonts w:ascii="Times New Roman" w:hAnsi="Times New Roman"/>
          <w:sz w:val="20"/>
        </w:rPr>
        <w:t xml:space="preserve">: on the Commencement Date (as defined in the Purchase Agreement) and from time to time thereafter, subject to the satisfaction of certain conditions and on any business day selected by us where the closing sale price of the common stock is equal to or greater than $1.10 per share, as adjusted for any reorganization, recapitalization, stock split, reverse stock split, or other similar transactions that occur on or after the date of the Purchase Agreement (the “Floor Price”), we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Additional VWAP Purchase: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consideration for C/M Capital’s execution and delivery of the Purchase Agreement, we agreed to issue to C/M Capital on the effective date of the Registration Statement (as defined hereunder) $800,000 worth of our common stock, valued at the VWAP Purchase Price as of such effective date (the “Commitment Shares”). The Commitment Shares will be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until either the stockholder approval (as defined in the Purchase Agreement) (the “Stockholder Approval”) is obtained or certain other conditions are met, we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outstanding immediately prior to the execution of the Purchase Agreement. As previously reported, we reconvened the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as provided thereunder, the Purchase Agreement shall terminate automatically on the earliest to occur of (i) the expiration of the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includes representations, warranties, and covenants customary for a transaction of this type.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pursuant to the Purchase Agreement, we entered into a registration rights agreement with C/M Capital (the “Registration Rights Agreement”), pursuant to which we are required to file a registration statement on Form S-1 (the “Registration Statement”) within 30 days after the execution date of the Purchase Agreement, to register the resale of all of (i) the shares of common stock to be sold and issued by us to C/M Capital under the Purchase Agreement, (ii) the Commitment Shares, and (iii) any securities of the Company issued or issuable with respect to the forementioned shares or Commitment Shares. We shall use commercially reasonable efforts to have the Registration Statement declared effective by the U.S. Securities and Exchange Commission (the “SEC”) at the earliest practicable date.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other customary obligations regarding registration, including indemnification and maintenance of the effectiveness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There are substantial risks to our stockholders as a result of the sale and issuance of common stock to C/M Capital under the Purchase Agreement, including but not limited to the following: substantial dilution, significant declines in our stock price and our inability to draw sufficient funds when needed. See “Risk Factors.” The sale of our common stock to C/M Capital under the Purchase Agreement will not affect the rights or privileges of our other stockholders, except that the economic and voting interests of our existing stockholders will be diluted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of any such sale. Although the number of shares of common stock that our other stockholders own will not decrease, the shares owned by our other stockholders will represent a smaller percentage of our total outstanding shares after any such sale to C/M Capital under the Purchase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Precedent to Commencement </w:t>
      </w:r>
    </w:p>
    <w:p>
      <w:pPr>
        <w:pStyle w:val="TextBody"/>
        <w:bidi w:val="0"/>
        <w:spacing w:before="120" w:after="0"/>
        <w:jc w:val="left"/>
        <w:rPr>
          <w:rFonts w:ascii="Times New Roman" w:hAnsi="Times New Roman"/>
          <w:sz w:val="20"/>
        </w:rPr>
      </w:pPr>
      <w:r>
        <w:rPr>
          <w:rFonts w:ascii="Times New Roman" w:hAnsi="Times New Roman"/>
          <w:sz w:val="20"/>
        </w:rPr>
        <w:t xml:space="preserve">Our right to commence delivering Fixed Purchase Notices, VWAP Purchase Notices and Additional VWAP Purchase Notices (collectively, “Purchase Notices”) under the Purchase Agreement and C/M Capital’s obligation to accept such Purchase Notices, are subject to the initial satisfaction, at the Commencement Date, of the conditions precedent thereto set forth in the Purchase Agreement, which conditions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our representations and warranties included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 final form, and all reports, schedules, registrations, forms, statements, information and other documents required to have been filed by us with the SEC pursuant to the reporting requirements of the Exchange Act having been so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not having been suspended by the SEC, Nasdaq or FINRA;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condition, occurrence, state of facts or event constituting a Material Adverse Effect (as defined in the Purchase Agreement)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customary compliance with laws and bankruptcy-related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C/M Capital of a customary legal opinion, as required under the Purchase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Effects of Sales of our Common Stock under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The common stock being registered for resale in this offering may be issued and sold by us to C/M Capital from time to time at our discretion, during the terms described above. The resale by the Selling Stockholders of a significant quantity of shares registered for resale in this offering at any given time, or the perception that these sales may occur, could cause the market price of our common stock to decline and to be highly volatile. Sales of our common stock, if any, to C/M Capital under the Purchase Agreement will be determined by us in our sole discretion, subject to the satisfaction of certain conditions in the Purchase Agreement, and will depend upon market conditions and other factors. We may ultimately decide to sell to C/M Capital all, some or none of the common stock that may be available for us to sell to C/M Capital pursuant to the Purchase Agreement. If we elect to sell common stock to C/M Capital pursuant to the Purchase Agreement, after it has acquired such shares, C/M Capital may resell all, some or none of such common stock at any time or from time to time in its discretion and at different prices. As a result, investors who purchase common stock from the Selling Stockholders in this offering at different times will likely pay different prices for those shares of common stock, and so may experience different levels of dilution and in some cases substantial dilution and different outcomes in their investment results. See “</w:t>
      </w:r>
      <w:r>
        <w:rPr>
          <w:rFonts w:ascii="Times New Roman" w:hAnsi="Times New Roman"/>
          <w:i/>
          <w:sz w:val="20"/>
          <w:u w:val="single"/>
        </w:rPr>
        <w:t>Risk Factors-Risks Related to the Committed Equity Financings-Investors who buy shares of common stock from C/M Capital at different times will likely pay different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experience a decline in the value of the common stock they purchase from the Selling Stockholders in this offering as a result of future sales made by us to C/M Capital at prices lower than the prices such investors paid for their shares in this offering. In addition, if we sell a substantial number of shares of common stock to C/M Capital under the Purchase Agreement, or if investors expect that we will do so, the actual sales of common stock or the mere existence of our arrangement with C/M Capital may make it more difficult for us to sell equity or equity-related securities in the future at a time and at a price that we might otherwise wish to effect such sales.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to be paid by C/M Capital for the common stock that we may elect to sell to C/M Capital under the Purchase Agreement, if any, will fluctuate based on the market prices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at the time we make such election, as of the date of this prospectus, it is not possible for us to predict the number of shares of common stock that we will sell to C/M Capital under the Purchase Agreement, the actual purchase price per share to be paid by C/M Capital for those shares of common stock, or the actual gross proceeds to be raised by us from those sales, if any.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offered for sale by the Selling Stockholders for resale under this prospectus is dependent upon the number of shares of common stock, if any, we ultimately sell to C/M Capital under the Purchase Agreement. Further, if and when we elect to sell shares of common stock to C/M Capital pursuant to the Purchase Agreement, after it has acquired such shares, C/M Capital may resell all, some, or none of such shares of common stock at any time or from time to time in its discretion and at different prices.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our shares of common stock to the Selling Stockholders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at varying purchase prices assuming we sell to C/M Capital under the Purchase Agreement the lesser of (i) the maximum number of Purchase Shares offered by this prospectus and (ii) the maximum number of Purchase Shares that we may sell to C/M Capital that results in the sale of shares of common stock with an aggregate purchase price of $40 million: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36"/>
        <w:gridCol w:w="475"/>
        <w:gridCol w:w="60"/>
        <w:gridCol w:w="1187"/>
        <w:gridCol w:w="60"/>
        <w:gridCol w:w="475"/>
        <w:gridCol w:w="149"/>
        <w:gridCol w:w="1392"/>
        <w:gridCol w:w="275"/>
        <w:gridCol w:w="393"/>
        <w:gridCol w:w="149"/>
        <w:gridCol w:w="1255"/>
        <w:gridCol w:w="66"/>
      </w:tblGrid>
      <w:tr>
        <w:trPr/>
        <w:tc>
          <w:tcPr>
            <w:tcW w:w="2636"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Assumed Trading Price of</w:t>
              <w:br/>
              <w:t>Common Stock</w:t>
            </w:r>
          </w:p>
        </w:tc>
        <w:tc>
          <w:tcPr>
            <w:tcW w:w="475"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Sold</w:t>
            </w:r>
            <w:r>
              <w:rPr/>
              <w:br/>
            </w:r>
            <w:r>
              <w:rPr>
                <w:b/>
              </w:rPr>
              <w:t>Under the</w:t>
            </w:r>
            <w:r>
              <w:rPr/>
              <w:br/>
            </w:r>
            <w:r>
              <w:rPr>
                <w:b/>
              </w:rPr>
              <w:t>ELOC(1)</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br/>
              <w:t>Outstanding</w:t>
            </w:r>
            <w:r>
              <w:rPr/>
              <w:br/>
            </w:r>
            <w:r>
              <w:rPr>
                <w:b/>
              </w:rPr>
              <w:t>shares of</w:t>
              <w:br/>
              <w:t>Common</w:t>
            </w:r>
            <w:r>
              <w:rPr/>
              <w:br/>
            </w:r>
            <w:r>
              <w:rPr>
                <w:b/>
              </w:rPr>
              <w:t>Stock</w:t>
            </w:r>
            <w:r>
              <w:rPr/>
              <w:br/>
            </w:r>
            <w:r>
              <w:rPr>
                <w:b/>
              </w:rPr>
              <w:t>After Giving</w:t>
              <w:br/>
              <w:t>Effect to</w:t>
              <w:br/>
              <w:t>Issuances to</w:t>
            </w:r>
            <w:r>
              <w:rPr/>
              <w:br/>
            </w:r>
            <w:r>
              <w:rPr>
                <w:b/>
              </w:rPr>
              <w:t>C/M Capital (2)</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Price</w:t>
            </w:r>
            <w:r>
              <w:rPr/>
              <w:br/>
            </w:r>
            <w:r>
              <w:rPr>
                <w:b/>
              </w:rPr>
              <w:t>for Common</w:t>
            </w:r>
            <w:r>
              <w:rPr/>
              <w:br/>
            </w:r>
            <w:r>
              <w:rPr>
                <w:b/>
              </w:rPr>
              <w:t>Stock Sold</w:t>
            </w:r>
            <w:r>
              <w:rPr/>
              <w:br/>
            </w:r>
            <w:r>
              <w:rPr>
                <w:b/>
              </w:rPr>
              <w:t>Under the</w:t>
            </w:r>
            <w:r>
              <w:rPr/>
              <w:br/>
            </w:r>
            <w:r>
              <w:rPr>
                <w:b/>
              </w:rPr>
              <w:t>ELOC(3)</w:t>
            </w:r>
          </w:p>
        </w:tc>
        <w:tc>
          <w:tcPr>
            <w:tcW w:w="66"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$2.31(4)</w:t>
            </w:r>
          </w:p>
        </w:tc>
        <w:tc>
          <w:tcPr>
            <w:tcW w:w="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17,316,017</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77.91</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40,000,000</w:t>
            </w:r>
          </w:p>
        </w:tc>
        <w:tc>
          <w:tcPr>
            <w:tcW w:w="66"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89.07</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40,000,000</w:t>
            </w:r>
          </w:p>
        </w:tc>
        <w:tc>
          <w:tcPr>
            <w:tcW w:w="66"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80.29</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40,000,000</w:t>
            </w:r>
          </w:p>
        </w:tc>
        <w:tc>
          <w:tcPr>
            <w:tcW w:w="66"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$4.00</w:t>
            </w:r>
          </w:p>
        </w:tc>
        <w:tc>
          <w:tcPr>
            <w:tcW w:w="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67.07</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40,000,000</w:t>
            </w:r>
          </w:p>
        </w:tc>
        <w:tc>
          <w:tcPr>
            <w:tcW w:w="66"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w:t>
            </w:r>
          </w:p>
        </w:tc>
        <w:tc>
          <w:tcPr>
            <w:tcW w:w="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61.97</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40,000,000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Purchase Shares offered by this prospectus may not cover all common stock we ultimately may sell to C/M Capital under the Purchase Agreement, depending on the purchase price per share of such sales. We have included in this column only those Purchase Shares being offered for resale by C/M Capital under this prospectus, without regard to the beneficial ownership limitation. The assumed average purchase prices are solely for illustrative purposes and are not intended to be estimates or predictions of the future performance of our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used to calculate the percentages in this column is based on 4,910,402 shares of common stock outstanding as of July 10, 2026, adjusted to include the shares of common stock issued and sold to C/M Capital under the Purchase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prices represent the illustrative aggregate purchase price to be received by us from the sale of all of the shares of Common Stock issued and sold to C/M Capital under the Purchase Agreement as set forth in the second column, multiplied by the VWAP Purchase Price, assuming for illustrative purposes that the VWAP Purchase Price is equal to 100% of the assumed trading price of shares of common stock listed in the first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closing price of our Common Stock on Nasdaq on July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228075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our common stock offered by the Selling Stockholders. In addition, we will not receive any proceeds from the issuance or sale of the Commitment Shares. We may receive up to $40,000,000 in aggregate gross proceeds from sales of shares of our common stock to C/M Capital pursuant to the Purchase Agreement after the date of this prospectus. However, the actual proceeds may be less than this amount depending on the number of shares of our common stock sold and the price at which the shares of our common stock are sold.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proceeds for working capital and other general corporate purposes, including the redemption of shares of Series P Preferred Stock in accordance with the terms of the Certificate of Designation for the Series P Preferred Stock. Our expected use of the net proceeds from this offering represents our intentions based upon our current plans and business conditions. As of the date of this prospectus, we cannot predict with certainty all of the particular uses for the net proceeds from this offering or the specific amounts to be spent on the uses described above. As a result, our management will retain broad discretion over the allocation of the net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228075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dividend policy is determined by its board of directors and will depend upon a number of factors, including the Company’s financial condition and performance, its cash needs and expansion plans, income tax consequences, and the restrictions that applicable laws and any credit or other contractual arrangements may then impose. The Company has not paid any cash dividends on its common stock to date and at the current time the Company does not anticipate paying a cash dividend on its common stock in the foreseeable future. Rather, the Company anticipates that it will retain earnings, if any, for use in the development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228075_9"/>
      <w:bookmarkEnd w:id="11"/>
      <w:r>
        <w:rPr>
          <w:rFonts w:ascii="Times New Roman" w:hAnsi="Times New Roman"/>
          <w:b/>
          <w:sz w:val="20"/>
        </w:rPr>
        <w:t xml:space="preserve">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Stockholders of any or all shares of our common stock that have been or may be issued by us to the Selling Stockholders under the Purchase Agreement. Such shares of our common stock include (i) up to 40,000,000 Purchase Shares that we may elect, in our sole discretion, to issue and sell to the Selling Stockholders, from time to time from and after the Commencement Date under the Purchase Agreement; and (ii) up to 874,552 Commitment Shares issued or issuable upon exercise of the Commitment Pre-Funded Warrants that have been issued to the Selling Stockholders as consideration for C/M Capital’s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and their respective permitted pledgees, donees, transferees, assignees, successors, designees, successors-in-interest and others who later come to hold any of such Selling Stockholder’s interest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the issuance of common stock covered by this prospectus, see the section entitled “</w:t>
      </w:r>
      <w:r>
        <w:rPr>
          <w:rFonts w:ascii="Times New Roman" w:hAnsi="Times New Roman"/>
          <w:i/>
          <w:sz w:val="20"/>
          <w:u w:val="single"/>
        </w:rPr>
        <w:t>Committed Equity Financing</w:t>
      </w:r>
      <w:r>
        <w:rPr>
          <w:rFonts w:ascii="Times New Roman" w:hAnsi="Times New Roman"/>
          <w:sz w:val="20"/>
        </w:rPr>
        <w:t xml:space="preserve">” above. We are registering the shares of common stock pursuant to the provisions of the Purchase Agreement and the Registration Rights Agreement in order to permit the Selling Stockholders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also entered into securities purchase agreements (each a “Preferred Stock Purchase Agreement” and collectively, the “Preferred Stock Purchase Agreements”) with C/M Capital and an investor named therein that is affiliated with C/M Capital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on June 9, 2026.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transactions contemplated by the Purchase Agreement and the Registration Rights Agreement and the transactions as disclosed above, neither of the Selling Stockholders has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each Selling Stockholder and the shares of common stock that it may offer from time to time under this prospectus. This table is prepared based on information supplied to us by the Selling Stockholders, and reflects holdings as of August 10, 2026. Each number of shares in the column “Maximum Number of Shares of Common Stock to be Offered Pursuant to this Prospectus” represents all of the shares of common stock that the corresponding Selling Stockholder may offer under this prospectus. Each Selling Stockholder may sell some, all or none of its shares in this offering. We do not know how long each Selling Stockholder will hold the shares before selling them, and we currently have no agreements, arrangements or understandings with the Selling Stockholders regarding the sale of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common stock with respect to which each Selling Stockholder has voting and investment power. The percentage of common stock beneficially owned by each Selling Stockholder prior to the offering shown in the table below is based on an aggregate of 4,910,402 shares of our common stock outstanding on July 10, 2026. Because the purchase price of the common stock issuable under the Purchase Agreement is determined on each Fixed Purchase Date, with respect to a Fixed Purchase and on the applicable VWAP Purchase Date (or the applicable Additional VWAP Purchase Date), with respect to a VWAP Purchase (or Additional VWAP Purchase), the number of shares that may actually be sold by us to C/M Capital under the Purchase Agreement may be fewer than the number of shares being offered by this prospectus. The fourth column assumes the sale of all of the shares offered by each Selling Stockholder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amend or supplement this prospectus from time to time in the future to update or change the Selling Stockholder list and the securities that may be resold.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u w:val="single"/>
        </w:rPr>
        <w:t>Plan of Distribution</w:t>
      </w:r>
      <w:r>
        <w:rPr>
          <w:rFonts w:ascii="Times New Roman" w:hAnsi="Times New Roman"/>
          <w:sz w:val="20"/>
        </w:rPr>
        <w:t xml:space="preserve">” for further information regarding the Selling Stockholders’ method of distributing these securities. </w:t>
      </w:r>
    </w:p>
    <w:p>
      <w:pPr>
        <w:pStyle w:val="TextBody"/>
        <w:bidi w:val="0"/>
        <w:spacing w:before="0" w:after="0"/>
        <w:jc w:val="left"/>
        <w:rPr/>
      </w:pPr>
      <w:r>
        <w:rPr/>
        <w:t> </w:t>
      </w:r>
    </w:p>
    <w:tbl>
      <w:tblPr>
        <w:tblW w:w="11065" w:type="dxa"/>
        <w:jc w:val="center"/>
        <w:tblInd w:w="0" w:type="dxa"/>
        <w:tblLayout w:type="fixed"/>
        <w:tblCellMar>
          <w:top w:w="0" w:type="dxa"/>
          <w:left w:w="0" w:type="dxa"/>
          <w:bottom w:w="0" w:type="dxa"/>
          <w:right w:w="0" w:type="dxa"/>
        </w:tblCellMar>
      </w:tblPr>
      <w:tblGrid>
        <w:gridCol w:w="2135"/>
        <w:gridCol w:w="120"/>
        <w:gridCol w:w="80"/>
        <w:gridCol w:w="1074"/>
        <w:gridCol w:w="80"/>
        <w:gridCol w:w="161"/>
        <w:gridCol w:w="80"/>
        <w:gridCol w:w="915"/>
        <w:gridCol w:w="275"/>
        <w:gridCol w:w="60"/>
        <w:gridCol w:w="134"/>
        <w:gridCol w:w="2466"/>
        <w:gridCol w:w="60"/>
        <w:gridCol w:w="120"/>
        <w:gridCol w:w="335"/>
        <w:gridCol w:w="783"/>
        <w:gridCol w:w="335"/>
        <w:gridCol w:w="671"/>
        <w:gridCol w:w="335"/>
        <w:gridCol w:w="786"/>
        <w:gridCol w:w="60"/>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w:t>
            </w:r>
          </w:p>
        </w:tc>
        <w:tc>
          <w:tcPr>
            <w:tcW w:w="12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Owned</w:t>
              <w:br/>
              <w:t>Prior to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 Common Stock</w:t>
              <w:br/>
              <w:t>to be Offered Pursuant</w:t>
              <w:br/>
              <w:t>to this Prospectus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5"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 Owned After</w:t>
              <w:br/>
              <w:t>Offering</w:t>
            </w:r>
          </w:p>
        </w:tc>
        <w:tc>
          <w:tcPr>
            <w:tcW w:w="6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center"/>
              <w:rPr/>
            </w:pPr>
            <w:r>
              <w:rPr/>
              <w:t>Number (1)</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center"/>
              <w:rPr/>
            </w:pPr>
            <w:r>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Number</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 Capital Master Fund, LP (2)</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549,132</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66" w:type="dxa"/>
            <w:tcBorders/>
            <w:shd w:fill="CCEEFF" w:val="clear"/>
            <w:vAlign w:val="bottom"/>
          </w:tcPr>
          <w:p>
            <w:pPr>
              <w:pStyle w:val="TableContents"/>
              <w:bidi w:val="0"/>
              <w:spacing w:before="0" w:after="283"/>
              <w:jc w:val="right"/>
              <w:rPr/>
            </w:pPr>
            <w:r>
              <w:rPr/>
              <w:t>40,524,731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0</w:t>
            </w:r>
          </w:p>
        </w:tc>
        <w:tc>
          <w:tcPr>
            <w:tcW w:w="33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C/M Special Ops Fund, LLC (3)</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349,821</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r>
              <w:rPr/>
              <w:t>4.99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66" w:type="dxa"/>
            <w:tcBorders/>
            <w:vAlign w:val="bottom"/>
          </w:tcPr>
          <w:p>
            <w:pPr>
              <w:pStyle w:val="TableContents"/>
              <w:bidi w:val="0"/>
              <w:spacing w:before="0" w:after="283"/>
              <w:jc w:val="right"/>
              <w:rPr/>
            </w:pPr>
            <w:r>
              <w:rPr/>
              <w:t>349,821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0</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13d-3(d) under the Exchange Act, we have excluded from the number of shares beneficially owned prior to the offering all of the shares that C/M Capital may be required to purchase under the Purchase Agreement, because the issuance of such shares is solely at our discretion and is subject to conditions contained in the Purchase Agreement, the satisfaction of which are entirely outside of C/M Capital’s control, including the registration statement that includes this prospectus becoming and remaining effective. Furthermore, the Fixed Purchase, VWAP Purchase or Additional VWAP Purchase, as applicable, of common stock is subject to certain agreed upon maximum amount limitations set forth in the Purchase Agreement. Also, the Purchase Agreement prohibits us from issuing and selling any of our common stock to C/M Capital to the extent such shares, when aggregated with all other common stock then beneficially owned by C/M Capital, would cause C/M Capital beneficial ownership of our common stock to exceed the Beneficial Ownership Limitation (as defined in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Capital Master Fund, LP (“C/M Capital”) is 1111 Brickell Avenue, Suite 2920, Miami, Florida 33131. As of the date of the Purchase Agreement, C/M Capital did not beneficially own any shares of our common stock. Thomas Walsh and Jonathan Juchno are the Managing Partners of C/M Capital, and therefore may be deemed to have shared voting and investment power over securities owned directly and indirectly by C/M Capital. The amount of shares beneficially owned by C/M Capital prior to the offering consists of (i) 152,397 Commitment Shares issued as of the date of this prospectus, (ii) 372,334 Commitment Shares issuable upon exercise of a Commitment Pre-Funded Warrant issued to C/M Capital, and (iii) 24,401 shares of common stock issuable upon exercise of a pre-funded warrant issued by the Company to C/M Capital on July 16, 2026 (the “Commencement Pre-Funded Warrant”) under the Preferred Stock Purchase Agreement; provided that both the Commitment Pre-Funded Warrant and the Commencement Pre-Funded Warrant provide for limitations on exercise, such that the holder along with its affiliates may not beneficially own more than 4.99% of the shares of the Company’s common stock outstanding immediately after giving effect to such exercise. C/M Capital is not a registered broker-dealer or an affiliate of a registered broker-dealer. The foregoing should not be construed in and of itself as an admission by Mr. Walsh and Mr. Juchno as to beneficial ownership of the securities beneficially owned directly or indirectly by C/M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Special Ops Fund, LLC (“C/M SOF”) is 1111 Brickell Avenue, Suite 2920, Miami, Florida 33131. As of the date of the Purchase Agreement, C/M SOF did not beneficially own any shares of our common stock. Thomas Walsh and Jonathan Juchno are the Managing Partners of C/M Capital Partners, LP, the manager of C/M SOF, and therefore may be deemed to have shared voting and investment power over securities owned directly and indirectly by C/M SOF. The amount of shares beneficially owned by C/M SOF prior to the offering consists of (i) 101,598 Commitment Shares issued as of the date of this prospectus, and (ii) 248,223 Commitment Shares issuable upon exercise of a Commitment Pre-Funded Warrant issued to C/M SOF; provided that the Commitment Pre-Funded Warrant provides for limitations on exercise, such that the holder along with its affiliates may not beneficially own more than 4.99% of the shares of the Company’s common stock outstanding immediately after giving effect to such exercise. Neither C/M SOF, Mr. Walsh or Mr. Juchno is a registered broker-dealer or an affiliate of a registered broker-dealer. The foregoing should not be construed in and of itself as an admission by Mr. Walsh and Mr. Juchno as to beneficial ownership of the securities beneficially owned directly or indirectly by C/M SOF.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228075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by this prospectus are being offered by the Selling Stockholders. The shares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at the market” into an existing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may be deemed to be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has informed us that it intends to use one or more registered broker-dealers to effectuate all sales, if any, of our common stock that it has acquired and may in the future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Each Selling Stockholder has informed us that each such broker-dealer will receive commissions from such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our common stock offered by this prospectus may receive compensation in the form of commissions, discounts, or concessions from the purchasers, for whom the broker-dealers may act as agent, of the shares sold by a Selling Stockholder through this prospectus. The compensation paid to any such particular broker-dealer by any such purchasers of our common stock sold by such Selling Stockholder may be less than or in excess of customary commissions. Neither we nor the Selling Stockholders can presently estimate the amount of compensation that any agent will receive from any purchasers of our common stock sold by a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either Selling Stockholder or any other stockholder, broker, dealer, underwriter or agent relating to the sale or distribution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a Selling Stockholder, including the names of any brokers, dealers, underwriters or agents participating in the distribution of such shares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Stockholder, any compensation paid by such Selling Stockholder to any such brokers, dealers, underwriters or agents, and any other required information. </w:t>
      </w:r>
    </w:p>
    <w:p>
      <w:pPr>
        <w:pStyle w:val="TextBody"/>
        <w:bidi w:val="0"/>
        <w:spacing w:before="240" w:after="0"/>
        <w:jc w:val="left"/>
        <w:rPr>
          <w:rFonts w:ascii="Times New Roman" w:hAnsi="Times New Roman"/>
          <w:sz w:val="20"/>
        </w:rPr>
      </w:pPr>
      <w:r>
        <w:rPr>
          <w:rFonts w:ascii="Times New Roman" w:hAnsi="Times New Roman"/>
          <w:sz w:val="20"/>
        </w:rPr>
        <w:t>We will pay the expenses incident to the registration under the Securities Act of the offer and sale of our common stock covered by this prospectus by the Selling Stockholders. As consideration for C/M Capital’s irrevocable commitment to purchase our common stock under the Purchase Agreement, we have agreed to issue to the Selling Stockholders $800,000 worth of our shares of common stock, issuable on the effective date of this registration statement, valued at the VWAP Purchase Price as of such date, as Commitment Shares. We have also agreed to pay to C/M Capital $35,000 in cash as reimbursement for the reasonable, out-of-pocket expenses incurred by C/M Capital, including the legal fees and disbursements of C/M Capital’s legal counsel, in connection with its due diligence investigation of the Company and in connection with the preparation, negotiation and execution of the Purchase Agreement. See “</w:t>
      </w:r>
      <w:r>
        <w:rPr>
          <w:rFonts w:ascii="Times New Roman" w:hAnsi="Times New Roman"/>
          <w:i/>
          <w:sz w:val="20"/>
          <w:u w:val="single"/>
        </w:rPr>
        <w:t>The Committed Equity Financing</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C/M Capital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C/M Capital has agreed to indemnify us against liabilities under the Securities Act that may arise from certain written information furnished to us by the Selling Stockholders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C/M Capital has represented to us that at no time prior to the date of the Purchase Agreement has C/M Capital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C/M Capital has agreed that during the term of the Purchase Agreement, neither C/M Capital, nor any of its agents, representatives or affiliates will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they are required to comply with Regulation M promulgated under the Exchange Act. With certain exceptions, Regulation M precludes the Selling Stockholders,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of our common stock offered by this prospectus have been sold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228075_11"/>
      <w:bookmarkEnd w:id="13"/>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w:t>
      </w:r>
      <w:r>
        <w:rPr>
          <w:rFonts w:ascii="Times New Roman" w:hAnsi="Times New Roman"/>
          <w:i/>
          <w:sz w:val="20"/>
          <w:u w:val="single"/>
        </w:rPr>
        <w:t>Description of Capital Stock</w:t>
      </w:r>
      <w:r>
        <w:rPr>
          <w:rFonts w:ascii="Times New Roman" w:hAnsi="Times New Roman"/>
          <w:sz w:val="20"/>
        </w:rPr>
        <w:t xml:space="preserve">,”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conversion or subscription rights applicable to either class of common stock.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twelve billion four hundred three million one hundred twenty-five thousandth (1/12,403,125,000th)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and 884.25 shares of Series Q Perpetual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with the Delaware Secretary of State. The certificate of designation fixes for each class or series the 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stockholders of at least 75% of the shares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of our voting common stock is Equiniti Trust Company, LLC. Their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28075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Reed Smith LLP, Palo Alto, California. </w:t>
      </w:r>
    </w:p>
    <w:p>
      <w:pPr>
        <w:pStyle w:val="TextBody"/>
        <w:bidi w:val="0"/>
        <w:spacing w:before="480" w:after="0"/>
        <w:jc w:val="center"/>
        <w:rPr>
          <w:rFonts w:ascii="Times New Roman" w:hAnsi="Times New Roman"/>
          <w:b/>
          <w:sz w:val="20"/>
        </w:rPr>
      </w:pPr>
      <w:bookmarkStart w:id="15" w:name="tx228075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28075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Annual Reports on Form 10-K, Quarterly Reports on Form 10-Q, and Current Reports on Form 8-K, including any amendments to those reports, and other information that we file with or furnish to the SEC pursuant to Section 13(a) or 15(d) of the Exchange Act are available free of charge on our website and through the SEC’s Electronic Data Gathering, Analysis, and Retrieval system (EDGAR). The SEC maintains an Internet site that contains reports, proxy and information statements, and other information regarding issuers that file electronically with the SEC at https://www.sec.gov. You may access the registration statement, of which this prospectus is a part,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through our website, free of charge, copies of our SEC filings as soon as reasonably practicable after we electronically file or furnish them to the SEC on our website, https://jaguar.health. We have not incorporated by reference into this prospectus the information on our website, and you should not consider it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forms part of a registration statement we have filed with the SEC relating to, among other things, the common stock. As permitted by SEC rules, this prospectus does not contain all the information we have included in the registration statement and the accompanying exhibits and schedules we have filed with the SEC. You may refer to the registration statement, exhibits and schedules for more information about us and the common stock. The statements this prospectus make pertaining to the content of any contract, agreement or other document that is an exhibit to the registration statement necessarily are summaries of their material provisions, and we qualify them in their entirety by reference to those exhibits for complete statements of their provisions. The registration statement, exhibits and schedules are available through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228075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The SEC allows us to “incorporate by reference” the information in certain documents that we file with it, which means that we can disclose important information to you by referring you to documents previously filed with the SEC. The information incorporated by reference is considered to be part of this prospectus, and the information that we subsequently file with the SEC will automatically update and supersede this information. This prospectus incorporates by reference the Company’s documents listed below and all documents subsequently filed by us with the SEC pursuant to Sections 13(a), 13(c), 14 or 15(d) of the Exchange Act prior to the termination of the offering of the securities described in this prospectus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w:t>
            </w:r>
            <w:hyperlink r:id="rId4">
              <w:r>
                <w:rPr>
                  <w:rStyle w:val="InternetLink"/>
                  <w:rFonts w:ascii="Times New Roman" w:hAnsi="Times New Roman"/>
                  <w:sz w:val="20"/>
                </w:rPr>
                <w:t>Form 10-Q</w:t>
              </w:r>
            </w:hyperlink>
            <w:r>
              <w:rPr>
                <w:rFonts w:ascii="Times New Roman" w:hAnsi="Times New Roman"/>
                <w:sz w:val="20"/>
              </w:rPr>
              <w:t xml:space="preserve"> for the period ending March 31, 2026 filed with the SEC on </w:t>
            </w:r>
            <w:hyperlink r:id="rId5">
              <w:r>
                <w:rPr>
                  <w:rStyle w:val="InternetLink"/>
                  <w:rFonts w:ascii="Times New Roman" w:hAnsi="Times New Roman"/>
                  <w:sz w:val="20"/>
                </w:rPr>
                <w:t>May 20, 2026</w:t>
              </w:r>
            </w:hyperlink>
            <w:r>
              <w:rPr>
                <w:rFonts w:ascii="Times New Roman" w:hAnsi="Times New Roman"/>
                <w:sz w:val="20"/>
              </w:rPr>
              <w:t xml:space="preserve">, and for the period ending June 30, 2026 filed with the SEC on </w:t>
            </w:r>
            <w:hyperlink r:id="rId6">
              <w:r>
                <w:rPr>
                  <w:rStyle w:val="InternetLink"/>
                  <w:rFonts w:ascii="Times New Roman" w:hAnsi="Times New Roman"/>
                  <w:sz w:val="20"/>
                </w:rPr>
                <w:t>August 19,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held on </w:t>
            </w:r>
            <w:hyperlink r:id="rId7">
              <w:r>
                <w:rPr>
                  <w:rStyle w:val="InternetLink"/>
                  <w:rFonts w:ascii="Times New Roman" w:hAnsi="Times New Roman"/>
                  <w:sz w:val="20"/>
                </w:rPr>
                <w:t>April 20, 2026</w:t>
              </w:r>
            </w:hyperlink>
            <w:r>
              <w:rPr>
                <w:rFonts w:ascii="Times New Roman" w:hAnsi="Times New Roman"/>
                <w:sz w:val="20"/>
              </w:rPr>
              <w:t xml:space="preserve">, filed on </w:t>
            </w:r>
            <w:hyperlink r:id="rId8">
              <w:r>
                <w:rPr>
                  <w:rStyle w:val="InternetLink"/>
                  <w:rFonts w:ascii="Times New Roman" w:hAnsi="Times New Roman"/>
                  <w:sz w:val="20"/>
                </w:rPr>
                <w:t>March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May 22, 2026 and June 2, 2026 and reconvened on June 8, 2026, filed on </w:t>
            </w:r>
            <w:hyperlink r:id="rId9">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10">
              <w:r>
                <w:rPr>
                  <w:rStyle w:val="InternetLink"/>
                  <w:rFonts w:ascii="Times New Roman" w:hAnsi="Times New Roman"/>
                  <w:sz w:val="20"/>
                </w:rPr>
                <w:t>May  6, 2026</w:t>
              </w:r>
            </w:hyperlink>
            <w:r>
              <w:rPr>
                <w:rFonts w:ascii="Times New Roman" w:hAnsi="Times New Roman"/>
                <w:sz w:val="20"/>
              </w:rPr>
              <w:t xml:space="preserve"> and </w:t>
            </w:r>
            <w:hyperlink r:id="rId11">
              <w:r>
                <w:rPr>
                  <w:rStyle w:val="InternetLink"/>
                  <w:rFonts w:ascii="Times New Roman" w:hAnsi="Times New Roman"/>
                  <w:sz w:val="20"/>
                </w:rPr>
                <w:t>May 29,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to be held on September 4, 2026, filed on </w:t>
            </w:r>
            <w:hyperlink r:id="rId12">
              <w:r>
                <w:rPr>
                  <w:rStyle w:val="InternetLink"/>
                  <w:rFonts w:ascii="Times New Roman" w:hAnsi="Times New Roman"/>
                  <w:sz w:val="20"/>
                </w:rPr>
                <w:t>August 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3">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4">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5">
              <w:r>
                <w:rPr>
                  <w:rStyle w:val="InternetLink"/>
                  <w:rFonts w:ascii="Times New Roman" w:hAnsi="Times New Roman"/>
                  <w:sz w:val="20"/>
                </w:rPr>
                <w:t>January  15, 2026</w:t>
              </w:r>
            </w:hyperlink>
            <w:r>
              <w:rPr>
                <w:rFonts w:ascii="Times New Roman" w:hAnsi="Times New Roman"/>
                <w:sz w:val="20"/>
              </w:rPr>
              <w:t xml:space="preserve">, </w:t>
            </w:r>
            <w:hyperlink r:id="rId16">
              <w:r>
                <w:rPr>
                  <w:rStyle w:val="InternetLink"/>
                  <w:rFonts w:ascii="Times New Roman" w:hAnsi="Times New Roman"/>
                  <w:sz w:val="20"/>
                </w:rPr>
                <w:t>January  23, 2026</w:t>
              </w:r>
            </w:hyperlink>
            <w:r>
              <w:rPr>
                <w:rFonts w:ascii="Times New Roman" w:hAnsi="Times New Roman"/>
                <w:sz w:val="20"/>
              </w:rPr>
              <w:t xml:space="preserve">, </w:t>
            </w:r>
            <w:hyperlink r:id="rId17">
              <w:r>
                <w:rPr>
                  <w:rStyle w:val="InternetLink"/>
                  <w:rFonts w:ascii="Times New Roman" w:hAnsi="Times New Roman"/>
                  <w:sz w:val="20"/>
                </w:rPr>
                <w:t>February  18, 2026</w:t>
              </w:r>
            </w:hyperlink>
            <w:r>
              <w:rPr>
                <w:rFonts w:ascii="Times New Roman" w:hAnsi="Times New Roman"/>
                <w:sz w:val="20"/>
              </w:rPr>
              <w:t xml:space="preserve">, </w:t>
            </w:r>
            <w:hyperlink r:id="rId18">
              <w:r>
                <w:rPr>
                  <w:rStyle w:val="InternetLink"/>
                  <w:rFonts w:ascii="Times New Roman" w:hAnsi="Times New Roman"/>
                  <w:sz w:val="20"/>
                </w:rPr>
                <w:t>March  3, 2026</w:t>
              </w:r>
            </w:hyperlink>
            <w:r>
              <w:rPr>
                <w:rFonts w:ascii="Times New Roman" w:hAnsi="Times New Roman"/>
                <w:sz w:val="20"/>
              </w:rPr>
              <w:t xml:space="preserve">, </w:t>
            </w:r>
            <w:hyperlink r:id="rId19">
              <w:r>
                <w:rPr>
                  <w:rStyle w:val="InternetLink"/>
                  <w:rFonts w:ascii="Times New Roman" w:hAnsi="Times New Roman"/>
                  <w:sz w:val="20"/>
                </w:rPr>
                <w:t>March  6, 2026</w:t>
              </w:r>
            </w:hyperlink>
            <w:r>
              <w:rPr>
                <w:rFonts w:ascii="Times New Roman" w:hAnsi="Times New Roman"/>
                <w:sz w:val="20"/>
              </w:rPr>
              <w:t xml:space="preserve">, </w:t>
            </w:r>
            <w:hyperlink r:id="rId20">
              <w:r>
                <w:rPr>
                  <w:rStyle w:val="InternetLink"/>
                  <w:rFonts w:ascii="Times New Roman" w:hAnsi="Times New Roman"/>
                  <w:sz w:val="20"/>
                </w:rPr>
                <w:t>March 9, 2026</w:t>
              </w:r>
            </w:hyperlink>
            <w:r>
              <w:rPr>
                <w:rFonts w:ascii="Times New Roman" w:hAnsi="Times New Roman"/>
                <w:sz w:val="20"/>
              </w:rPr>
              <w:t xml:space="preserve">, April  7, 2026, </w:t>
            </w:r>
            <w:hyperlink r:id="rId21">
              <w:r>
                <w:rPr>
                  <w:rStyle w:val="InternetLink"/>
                  <w:rFonts w:ascii="Times New Roman" w:hAnsi="Times New Roman"/>
                  <w:sz w:val="20"/>
                </w:rPr>
                <w:t>April 9, 2026</w:t>
              </w:r>
            </w:hyperlink>
            <w:r>
              <w:rPr>
                <w:rFonts w:ascii="Times New Roman" w:hAnsi="Times New Roman"/>
                <w:sz w:val="20"/>
              </w:rPr>
              <w:t xml:space="preserve">, </w:t>
            </w:r>
            <w:hyperlink r:id="rId22">
              <w:r>
                <w:rPr>
                  <w:rStyle w:val="InternetLink"/>
                  <w:rFonts w:ascii="Times New Roman" w:hAnsi="Times New Roman"/>
                  <w:sz w:val="20"/>
                </w:rPr>
                <w:t>April 21, 2026</w:t>
              </w:r>
            </w:hyperlink>
            <w:r>
              <w:rPr>
                <w:rFonts w:ascii="Times New Roman" w:hAnsi="Times New Roman"/>
                <w:sz w:val="20"/>
              </w:rPr>
              <w:t xml:space="preserve">, </w:t>
            </w:r>
            <w:hyperlink r:id="rId23">
              <w:r>
                <w:rPr>
                  <w:rStyle w:val="InternetLink"/>
                  <w:rFonts w:ascii="Times New Roman" w:hAnsi="Times New Roman"/>
                  <w:sz w:val="20"/>
                </w:rPr>
                <w:t>April  27, 2026</w:t>
              </w:r>
            </w:hyperlink>
            <w:r>
              <w:rPr>
                <w:rFonts w:ascii="Times New Roman" w:hAnsi="Times New Roman"/>
                <w:sz w:val="20"/>
              </w:rPr>
              <w:t xml:space="preserve">, </w:t>
            </w:r>
            <w:hyperlink r:id="rId24">
              <w:r>
                <w:rPr>
                  <w:rStyle w:val="InternetLink"/>
                  <w:rFonts w:ascii="Times New Roman" w:hAnsi="Times New Roman"/>
                  <w:sz w:val="20"/>
                </w:rPr>
                <w:t>May 4, 2026</w:t>
              </w:r>
            </w:hyperlink>
            <w:r>
              <w:rPr>
                <w:rFonts w:ascii="Times New Roman" w:hAnsi="Times New Roman"/>
                <w:sz w:val="20"/>
              </w:rPr>
              <w:t xml:space="preserve"> (SEC Accession No.  0001193125-26-202614), </w:t>
            </w:r>
            <w:hyperlink r:id="rId25">
              <w:r>
                <w:rPr>
                  <w:rStyle w:val="InternetLink"/>
                  <w:rFonts w:ascii="Times New Roman" w:hAnsi="Times New Roman"/>
                  <w:sz w:val="20"/>
                </w:rPr>
                <w:t>May 4, 2026</w:t>
              </w:r>
            </w:hyperlink>
            <w:r>
              <w:rPr>
                <w:rFonts w:ascii="Times New Roman" w:hAnsi="Times New Roman"/>
                <w:sz w:val="20"/>
              </w:rPr>
              <w:t xml:space="preserve"> (SEC Accession No. 0001193125-26-204310), </w:t>
            </w:r>
            <w:hyperlink r:id="rId26">
              <w:r>
                <w:rPr>
                  <w:rStyle w:val="InternetLink"/>
                  <w:rFonts w:ascii="Times New Roman" w:hAnsi="Times New Roman"/>
                  <w:sz w:val="20"/>
                </w:rPr>
                <w:t>May  7, 2026</w:t>
              </w:r>
            </w:hyperlink>
            <w:r>
              <w:rPr>
                <w:rFonts w:ascii="Times New Roman" w:hAnsi="Times New Roman"/>
                <w:sz w:val="20"/>
              </w:rPr>
              <w:t xml:space="preserve">, </w:t>
            </w:r>
            <w:hyperlink r:id="rId27">
              <w:r>
                <w:rPr>
                  <w:rStyle w:val="InternetLink"/>
                  <w:rFonts w:ascii="Times New Roman" w:hAnsi="Times New Roman"/>
                  <w:sz w:val="20"/>
                </w:rPr>
                <w:t>May  19, 2026</w:t>
              </w:r>
            </w:hyperlink>
            <w:r>
              <w:rPr>
                <w:rFonts w:ascii="Times New Roman" w:hAnsi="Times New Roman"/>
                <w:sz w:val="20"/>
              </w:rPr>
              <w:t xml:space="preserve">, </w:t>
            </w:r>
            <w:hyperlink r:id="rId28">
              <w:r>
                <w:rPr>
                  <w:rStyle w:val="InternetLink"/>
                  <w:rFonts w:ascii="Times New Roman" w:hAnsi="Times New Roman"/>
                  <w:sz w:val="20"/>
                </w:rPr>
                <w:t>May  22, 2026</w:t>
              </w:r>
            </w:hyperlink>
            <w:r>
              <w:rPr>
                <w:rFonts w:ascii="Times New Roman" w:hAnsi="Times New Roman"/>
                <w:sz w:val="20"/>
              </w:rPr>
              <w:t xml:space="preserve">, </w:t>
            </w:r>
            <w:hyperlink r:id="rId29">
              <w:r>
                <w:rPr>
                  <w:rStyle w:val="InternetLink"/>
                  <w:rFonts w:ascii="Times New Roman" w:hAnsi="Times New Roman"/>
                  <w:sz w:val="20"/>
                </w:rPr>
                <w:t>May  27, 2026</w:t>
              </w:r>
            </w:hyperlink>
            <w:r>
              <w:rPr>
                <w:rFonts w:ascii="Times New Roman" w:hAnsi="Times New Roman"/>
                <w:sz w:val="20"/>
              </w:rPr>
              <w:t xml:space="preserve">, </w:t>
            </w:r>
            <w:hyperlink r:id="rId30">
              <w:r>
                <w:rPr>
                  <w:rStyle w:val="InternetLink"/>
                  <w:rFonts w:ascii="Times New Roman" w:hAnsi="Times New Roman"/>
                  <w:sz w:val="20"/>
                </w:rPr>
                <w:t>June  2, 2026</w:t>
              </w:r>
            </w:hyperlink>
            <w:r>
              <w:rPr>
                <w:rFonts w:ascii="Times New Roman" w:hAnsi="Times New Roman"/>
                <w:sz w:val="20"/>
              </w:rPr>
              <w:t xml:space="preserve">, </w:t>
            </w:r>
            <w:hyperlink r:id="rId31">
              <w:r>
                <w:rPr>
                  <w:rStyle w:val="InternetLink"/>
                  <w:rFonts w:ascii="Times New Roman" w:hAnsi="Times New Roman"/>
                  <w:sz w:val="20"/>
                </w:rPr>
                <w:t>June  8, 2026</w:t>
              </w:r>
            </w:hyperlink>
            <w:r>
              <w:rPr>
                <w:rFonts w:ascii="Times New Roman" w:hAnsi="Times New Roman"/>
                <w:sz w:val="20"/>
              </w:rPr>
              <w:t xml:space="preserve">, </w:t>
            </w:r>
            <w:hyperlink r:id="rId32">
              <w:r>
                <w:rPr>
                  <w:rStyle w:val="InternetLink"/>
                  <w:rFonts w:ascii="Times New Roman" w:hAnsi="Times New Roman"/>
                  <w:sz w:val="20"/>
                </w:rPr>
                <w:t>June  11, 2026</w:t>
              </w:r>
            </w:hyperlink>
            <w:r>
              <w:rPr>
                <w:rFonts w:ascii="Times New Roman" w:hAnsi="Times New Roman"/>
                <w:sz w:val="20"/>
              </w:rPr>
              <w:t xml:space="preserve">, </w:t>
            </w:r>
            <w:hyperlink r:id="rId33">
              <w:r>
                <w:rPr>
                  <w:rStyle w:val="InternetLink"/>
                  <w:rFonts w:ascii="Times New Roman" w:hAnsi="Times New Roman"/>
                  <w:sz w:val="20"/>
                </w:rPr>
                <w:t>June  18, 2026</w:t>
              </w:r>
            </w:hyperlink>
            <w:r>
              <w:rPr>
                <w:rFonts w:ascii="Times New Roman" w:hAnsi="Times New Roman"/>
                <w:sz w:val="20"/>
              </w:rPr>
              <w:t xml:space="preserve">, </w:t>
            </w:r>
            <w:hyperlink r:id="rId34">
              <w:r>
                <w:rPr>
                  <w:rStyle w:val="InternetLink"/>
                  <w:rFonts w:ascii="Times New Roman" w:hAnsi="Times New Roman"/>
                  <w:sz w:val="20"/>
                </w:rPr>
                <w:t>June  22, 2026</w:t>
              </w:r>
            </w:hyperlink>
            <w:r>
              <w:rPr>
                <w:rFonts w:ascii="Times New Roman" w:hAnsi="Times New Roman"/>
                <w:sz w:val="20"/>
              </w:rPr>
              <w:t xml:space="preserve">, </w:t>
            </w:r>
            <w:hyperlink r:id="rId35">
              <w:r>
                <w:rPr>
                  <w:rStyle w:val="InternetLink"/>
                  <w:rFonts w:ascii="Times New Roman" w:hAnsi="Times New Roman"/>
                  <w:sz w:val="20"/>
                </w:rPr>
                <w:t>June 25, 2026</w:t>
              </w:r>
            </w:hyperlink>
            <w:r>
              <w:rPr>
                <w:rFonts w:ascii="Times New Roman" w:hAnsi="Times New Roman"/>
                <w:sz w:val="20"/>
              </w:rPr>
              <w:t xml:space="preserve">, </w:t>
            </w:r>
            <w:hyperlink r:id="rId36">
              <w:r>
                <w:rPr>
                  <w:rStyle w:val="InternetLink"/>
                  <w:rFonts w:ascii="Times New Roman" w:hAnsi="Times New Roman"/>
                  <w:sz w:val="20"/>
                </w:rPr>
                <w:t>July 1, 2026</w:t>
              </w:r>
            </w:hyperlink>
            <w:r>
              <w:rPr>
                <w:rFonts w:ascii="Times New Roman" w:hAnsi="Times New Roman"/>
                <w:sz w:val="20"/>
              </w:rPr>
              <w:t xml:space="preserve"> and </w:t>
            </w:r>
            <w:hyperlink r:id="rId37">
              <w:r>
                <w:rPr>
                  <w:rStyle w:val="InternetLink"/>
                  <w:rFonts w:ascii="Times New Roman" w:hAnsi="Times New Roman"/>
                  <w:sz w:val="20"/>
                </w:rPr>
                <w:t>July 14, 2026</w:t>
              </w:r>
            </w:hyperlink>
            <w:r>
              <w:rPr>
                <w:rFonts w:ascii="Times New Roman" w:hAnsi="Times New Roman"/>
                <w:sz w:val="20"/>
              </w:rPr>
              <w:t xml:space="preserve">, and on Form 8-K/A filed on </w:t>
            </w:r>
            <w:hyperlink r:id="rId38">
              <w:r>
                <w:rPr>
                  <w:rStyle w:val="InternetLink"/>
                  <w:rFonts w:ascii="Times New Roman" w:hAnsi="Times New Roman"/>
                  <w:sz w:val="20"/>
                </w:rPr>
                <w:t>January 12, 2026</w:t>
              </w:r>
            </w:hyperlink>
            <w:r>
              <w:rPr>
                <w:rFonts w:ascii="Times New Roman" w:hAnsi="Times New Roman"/>
                <w:sz w:val="20"/>
              </w:rPr>
              <w:t xml:space="preserve"> and </w:t>
            </w:r>
            <w:hyperlink r:id="rId39">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SEC file number for each of the documents listed above is 001-36714.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Investor Relations, Jaguar Health, Inc., 200 Pine Street, Suite 400, San Francisco, CA, 94104 or call (415) 371-8300.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1450" cy="1049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0"/>
                    <a:stretch>
                      <a:fillRect/>
                    </a:stretch>
                  </pic:blipFill>
                  <pic:spPr bwMode="auto">
                    <a:xfrm>
                      <a:off x="0" y="0"/>
                      <a:ext cx="3981450" cy="10490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Resale of up to 40,874,552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0" w:after="0"/>
        <w:jc w:val="center"/>
        <w:rPr>
          <w:rFonts w:ascii="Times New Roman" w:hAnsi="Times New Roman"/>
          <w:b/>
          <w:sz w:val="20"/>
        </w:rPr>
      </w:pPr>
      <w:r>
        <w:rPr>
          <w:rFonts w:ascii="Times New Roman" w:hAnsi="Times New Roman"/>
          <w:b/>
          <w:sz w:val="20"/>
        </w:rPr>
        <w:t xml:space="preserve">August 14,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232560/jagx-20260331.htm" TargetMode="External"/><Relationship Id="rId6" Type="http://schemas.openxmlformats.org/officeDocument/2006/relationships/hyperlink" Target="http://www.sec.gov/Archives/edgar/data/../../../ix?doc=/Archives/edgar/data/1585608/000119312526356570/jagx-20260630.htm" TargetMode="External"/><Relationship Id="rId7" Type="http://schemas.openxmlformats.org/officeDocument/2006/relationships/hyperlink" Target="http://www.sec.gov/Archives/edgar/data/../../../ix?doc=/Archives/edgar/data/1585608/000119312526164339/d70657dpre14a.htm" TargetMode="External"/><Relationship Id="rId8" Type="http://schemas.openxmlformats.org/officeDocument/2006/relationships/hyperlink" Target="http://www.sec.gov/Archives/edgar/data/../../../ix?doc=/Archives/edgar/data/1585608/000119312526122184/d22104ddef14a.htm" TargetMode="External"/><Relationship Id="rId9" Type="http://schemas.openxmlformats.org/officeDocument/2006/relationships/hyperlink" Target="http://www.sec.gov/Archives/edgar/data/../../../ix?doc=/Archives/edgar/data/1585608/000119312526192753/d70657ddef14a.htm" TargetMode="External"/><Relationship Id="rId10" Type="http://schemas.openxmlformats.org/officeDocument/2006/relationships/hyperlink" Target="http://www.sec.gov/Archives/edgar/data/1585608/000119312526207621/d104009ddefa14a.htm" TargetMode="External"/><Relationship Id="rId11" Type="http://schemas.openxmlformats.org/officeDocument/2006/relationships/hyperlink" Target="http://www.sec.gov/Archives/edgar/data/1585608/000119312526248883/d115751ddefa14a.htm" TargetMode="External"/><Relationship Id="rId12" Type="http://schemas.openxmlformats.org/officeDocument/2006/relationships/hyperlink" Target="http://www.sec.gov/Archives/edgar/data/../../../ix?doc=/Archives/edgar/data/1585608/000119312526330694/d165765ddef14a.htm" TargetMode="External"/><Relationship Id="rId13" Type="http://schemas.openxmlformats.org/officeDocument/2006/relationships/hyperlink" Target="http://www.sec.gov/Archives/edgar/data/../../../ix?doc=/Archives/edgar/data/1585608/000119312526009221/jagx-20260105.htm" TargetMode="External"/><Relationship Id="rId14" Type="http://schemas.openxmlformats.org/officeDocument/2006/relationships/hyperlink" Target="http://www.sec.gov/Archives/edgar/data/1585608/000119312526009644/jagx-20260112.htm" TargetMode="External"/><Relationship Id="rId15" Type="http://schemas.openxmlformats.org/officeDocument/2006/relationships/hyperlink" Target="http://www.sec.gov/Archives/edgar/data/../../../ix?doc=/Archives/edgar/data/1585608/000119312526014231/jagx-20260112.htm" TargetMode="External"/><Relationship Id="rId16" Type="http://schemas.openxmlformats.org/officeDocument/2006/relationships/hyperlink" Target="http://www.sec.gov/Archives/edgar/data/../../../ix?doc=/Archives/edgar/data/1585608/000119312526021064/jagx-20260116.htm" TargetMode="External"/><Relationship Id="rId17" Type="http://schemas.openxmlformats.org/officeDocument/2006/relationships/hyperlink" Target="http://www.sec.gov/Archives/edgar/data/../../../ix?doc=/Archives/edgar/data/1585608/000119312526056157/d70748d8k.htm" TargetMode="External"/><Relationship Id="rId18" Type="http://schemas.openxmlformats.org/officeDocument/2006/relationships/hyperlink" Target="http://www.sec.gov/Archives/edgar/data/../../../ix?doc=/Archives/edgar/data/1585608/000119312526086882/d236488d8k.htm" TargetMode="External"/><Relationship Id="rId19" Type="http://schemas.openxmlformats.org/officeDocument/2006/relationships/hyperlink" Target="http://www.sec.gov/Archives/edgar/data/../../../ix?doc=/Archives/edgar/data/1585608/000119312526096565/d62332d8k.htm" TargetMode="External"/><Relationship Id="rId20" Type="http://schemas.openxmlformats.org/officeDocument/2006/relationships/hyperlink" Target="http://www.sec.gov/Archives/edgar/data/../../../ix?doc=/Archives/edgar/data/1585608/000119312526097700/d89977d8k.htm" TargetMode="External"/><Relationship Id="rId21" Type="http://schemas.openxmlformats.org/officeDocument/2006/relationships/hyperlink" Target="http://www.sec.gov/Archives/edgar/data/../../../ix?doc=/Archives/edgar/data/1585608/000119312526149828/d145473d8k.htm" TargetMode="External"/><Relationship Id="rId22" Type="http://schemas.openxmlformats.org/officeDocument/2006/relationships/hyperlink" Target="http://www.sec.gov/Archives/edgar/data/../../../ix?doc=/Archives/edgar/data/1585608/000119312526165120/d10648d8k.htm" TargetMode="External"/><Relationship Id="rId23" Type="http://schemas.openxmlformats.org/officeDocument/2006/relationships/hyperlink" Target="http://www.sec.gov/Archives/edgar/data/../../../ix?doc=/Archives/edgar/data/1585608/000119312526179391/d109088d8k.htm" TargetMode="External"/><Relationship Id="rId24" Type="http://schemas.openxmlformats.org/officeDocument/2006/relationships/hyperlink" Target="http://www.sec.gov/Archives/edgar/data/../../../ix?doc=/Archives/edgar/data/1585608/000119312526202614/d46623d8k.htm" TargetMode="External"/><Relationship Id="rId25" Type="http://schemas.openxmlformats.org/officeDocument/2006/relationships/hyperlink" Target="http://www.sec.gov/Archives/edgar/data/../../../ix?doc=/Archives/edgar/data/1585608/000119312526204310/d941132d8k.htm" TargetMode="External"/><Relationship Id="rId26" Type="http://schemas.openxmlformats.org/officeDocument/2006/relationships/hyperlink" Target="http://www.sec.gov/Archives/edgar/data/../../../ix?doc=/Archives/edgar/data/1585608/000119312526211545/d55784d8k.htm" TargetMode="External"/><Relationship Id="rId27" Type="http://schemas.openxmlformats.org/officeDocument/2006/relationships/hyperlink" Target="http://www.sec.gov/Archives/edgar/data/../../../ix?doc=/Archives/edgar/data/1585608/000119312526231083/d227929d8k.htm" TargetMode="External"/><Relationship Id="rId28" Type="http://schemas.openxmlformats.org/officeDocument/2006/relationships/hyperlink" Target="http://www.sec.gov/Archives/edgar/data/../../../ix?doc=/Archives/edgar/data/1585608/000119312526237195/d138181d8k.htm" TargetMode="External"/><Relationship Id="rId29" Type="http://schemas.openxmlformats.org/officeDocument/2006/relationships/hyperlink" Target="http://www.sec.gov/Archives/edgar/data/../../../ix?doc=/Archives/edgar/data/1585608/000119312526240645/d129501d8k.htm" TargetMode="External"/><Relationship Id="rId30" Type="http://schemas.openxmlformats.org/officeDocument/2006/relationships/hyperlink" Target="http://www.sec.gov/Archives/edgar/data/../../../ix?doc=/Archives/edgar/data/1585608/000119312526253506/d95782d8k.htm" TargetMode="External"/><Relationship Id="rId31" Type="http://schemas.openxmlformats.org/officeDocument/2006/relationships/hyperlink" Target="http://www.sec.gov/Archives/edgar/data/../../../ix?doc=/Archives/edgar/data/1585608/000119312526261910/d85703d8k.htm" TargetMode="External"/><Relationship Id="rId32" Type="http://schemas.openxmlformats.org/officeDocument/2006/relationships/hyperlink" Target="http://www.sec.gov/Archives/edgar/data/../../../ix?doc=/Archives/edgar/data/1585608/000119312526266770/d570985d8k.htm" TargetMode="External"/><Relationship Id="rId33" Type="http://schemas.openxmlformats.org/officeDocument/2006/relationships/hyperlink" Target="http://www.sec.gov/Archives/edgar/data/../../../ix?doc=/Archives/edgar/data/1585608/000119312526276103/d111863d8k.htm" TargetMode="External"/><Relationship Id="rId34" Type="http://schemas.openxmlformats.org/officeDocument/2006/relationships/hyperlink" Target="http://www.sec.gov/Archives/edgar/data/../../../ix?doc=/Archives/edgar/data/1585608/000119312526276845/d27128d8k.htm" TargetMode="External"/><Relationship Id="rId35" Type="http://schemas.openxmlformats.org/officeDocument/2006/relationships/hyperlink" Target="http://www.sec.gov/Archives/edgar/data/../../../ix?doc=/Archives/edgar/data/0001585608/000119312526281969/d110630d8k.htm" TargetMode="External"/><Relationship Id="rId36" Type="http://schemas.openxmlformats.org/officeDocument/2006/relationships/hyperlink" Target="http://www.sec.gov/Archives/edgar/data/../../../ix?doc=/Archives/edgar/data/0001585608/000119312526292677/d145900d8k.htm" TargetMode="External"/><Relationship Id="rId37" Type="http://schemas.openxmlformats.org/officeDocument/2006/relationships/hyperlink" Target="http://www.sec.gov/Archives/edgar/data/../../../ix?doc=/Archives/edgar/data/1585608/000119312526303190/d144017d8k.htm" TargetMode="External"/><Relationship Id="rId38" Type="http://schemas.openxmlformats.org/officeDocument/2006/relationships/hyperlink" Target="http://www.sec.gov/Archives/edgar/data/../../../ix?doc=/Archives/edgar/data/1585608/000119312526010173/jagx-20260106.htm" TargetMode="External"/><Relationship Id="rId39" Type="http://schemas.openxmlformats.org/officeDocument/2006/relationships/hyperlink" Target="http://www.sec.gov/Archives/edgar/data/../../../ix?doc=/Archives/edgar/data/1585608/000119312526277570/d121487d8ka.htm" TargetMode="External"/><Relationship Id="rId40" Type="http://schemas.openxmlformats.org/officeDocument/2006/relationships/image" Target="media/image2.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18945</Words>
  <Characters>100212</Characters>
  <CharactersWithSpaces>119422</CharactersWithSpaces>
  <Paragraphs>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