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Jaguar Health,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001-36714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46-2956775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200 Pine Street</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Suite 400</w:t>
      </w:r>
    </w:p>
    <w:p>
      <w:pPr>
        <w:spacing w:after="0" w:line="9"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San Francisco, 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94104</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371-8300</w:t>
      </w:r>
    </w:p>
    <w:p>
      <w:pPr>
        <w:spacing w:after="0" w:line="30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170815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0"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JAGX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Line of Credit</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June 9, 2026, Jaguar Health, Inc. (the “Company”) entered into a common stock purchase agreement (the “ELOC Agreement”) with an accredited investor (the “Institutional Investor”), which provides that, upon the terms and subject to the conditions set forth therein, the Institutional Investor is committed to purchase up to an aggregate of $40 million of shares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ELOC Agreement:</w:t>
      </w:r>
    </w:p>
    <w:p>
      <w:pPr>
        <w:spacing w:after="0" w:line="131" w:lineRule="exact"/>
        <w:rPr>
          <w:sz w:val="20"/>
          <w:szCs w:val="20"/>
          <w:color w:val="auto"/>
        </w:rPr>
      </w:pPr>
    </w:p>
    <w:p>
      <w:pPr>
        <w:ind w:left="960" w:right="40" w:hanging="532"/>
        <w:spacing w:after="0" w:line="270" w:lineRule="auto"/>
        <w:tabs>
          <w:tab w:leader="none" w:pos="9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Fixed Purchase</w:t>
      </w:r>
      <w:r>
        <w:rPr>
          <w:rFonts w:ascii="Times New Roman" w:cs="Times New Roman" w:eastAsia="Times New Roman" w:hAnsi="Times New Roman"/>
          <w:sz w:val="17"/>
          <w:szCs w:val="17"/>
          <w:color w:val="auto"/>
        </w:rPr>
        <w:t>: on the Commencement Date (as defined in the ELOC Agreement) and from time to time thereafter, subject to the satisfaction of certain conditions and on any business day selected by the Company where the closing sale price of the Common Stock is equal to or greater than $1.10 per share, as adjusted for any reorganization, recapitalization, stock split, reverse stock split, or other similar transactions that occur on or after the date of the ELOC Agreement (the “ELOC Floor Price”), the Company shall have the right, but not the obligation, to direct the Institutional Investor to purchase a Fixed Purchase Share Amount (as defined in the ELOC Agreement), not to exceed the applicable Fixed Purchase Maximum Amount (as defined in the ELOC Agreement), at the applicable Fixed Purchase Price (as defined in the ELOC Agreement) therefor on the applicable Fixed Purchase Date in accordance with the ELOC Agreement (each such purchase a “Fixed Purchase”); provided, however, that the Institutional Investor’s committed obligation under any single Fixed Purchase shall not exceed $1,500,000 (provided that all shares of Common Stock in respect of all prior Fixed Purchases, VWAP Purchases and Additional VWAP Purchases shall have been delivered to the Institutional Investor via Deposit/Withdrawal at Custodian (“DWAC”));</w:t>
      </w:r>
    </w:p>
    <w:p>
      <w:pPr>
        <w:spacing w:after="0" w:line="82" w:lineRule="exact"/>
        <w:rPr>
          <w:rFonts w:ascii="Times New Roman" w:cs="Times New Roman" w:eastAsia="Times New Roman" w:hAnsi="Times New Roman"/>
          <w:sz w:val="17"/>
          <w:szCs w:val="17"/>
          <w:color w:val="auto"/>
        </w:rPr>
      </w:pPr>
    </w:p>
    <w:p>
      <w:pPr>
        <w:ind w:left="960" w:right="120" w:hanging="532"/>
        <w:spacing w:after="0" w:line="25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VWAP Purchase</w:t>
      </w:r>
      <w:r>
        <w:rPr>
          <w:rFonts w:ascii="Times New Roman" w:cs="Times New Roman" w:eastAsia="Times New Roman" w:hAnsi="Times New Roman"/>
          <w:sz w:val="18"/>
          <w:szCs w:val="18"/>
          <w:color w:val="auto"/>
        </w:rPr>
        <w:t>: on the Commencement Date and from time to time thereafter, and on any business day selected by the Company where the closing sale price of the Common Stock is equal to or greater than the ELOC Floor Price, subject to the satisfaction of certain conditions, in addition to the Fixed Purchase, the Company shall also have the right, but not the obligation, to direct the Institutional Investor to purchase the applicable VWAP Purchase Share Amount (as defined in the ELOC Agreement), not to exceed the applicable VWAP Purchase Maximum Amount (as defined in the ELOC Agreement), at the applicable VWAP Purchase Price (as defined in the ELOC Agreement) therefor on the applicable VWAP Purchase Date in accordance with the ELOC Agreement (each such purchase, a “VWAP Purchase”); provided, however, that the Institutional Investor’s aggregate committed obligation under a VWAP Purchase and all Additional VWAP Purchases shall not exceed $4,500,000 in the aggregate for such VWAP Purchase and all such Additional VWAP Purchases on such VWAP Purchase Date, collectively;</w:t>
      </w:r>
    </w:p>
    <w:p>
      <w:pPr>
        <w:spacing w:after="0" w:line="93" w:lineRule="exact"/>
        <w:rPr>
          <w:rFonts w:ascii="Times New Roman" w:cs="Times New Roman" w:eastAsia="Times New Roman" w:hAnsi="Times New Roman"/>
          <w:sz w:val="18"/>
          <w:szCs w:val="18"/>
          <w:color w:val="auto"/>
        </w:rPr>
      </w:pPr>
    </w:p>
    <w:p>
      <w:pPr>
        <w:ind w:left="960" w:hanging="532"/>
        <w:spacing w:after="0" w:line="253"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VWAP Purchase</w:t>
      </w:r>
      <w:r>
        <w:rPr>
          <w:rFonts w:ascii="Times New Roman" w:cs="Times New Roman" w:eastAsia="Times New Roman" w:hAnsi="Times New Roman"/>
          <w:sz w:val="18"/>
          <w:szCs w:val="18"/>
          <w:color w:val="auto"/>
        </w:rPr>
        <w:t>: on the Commencement Date and from time to time thereafter, subject to the satisfaction of certain conditions, in addition to the Fixed Purchase and VWAP Purchase, the Company shall also have the right, but not the obligation, to direct the Institutional Investor to purchase the applicable Additional VWAP Purchase Share Amount (as defined in the ELOC Agreement), not to exceed the applicable Additional VWAP Purchase Maximum Amount (as defined in the ELOC Agreement), at the applicable Additional VWAP Purchase Price (as defined in the ELOC Agreement) therefor on the applicable Additional VWAP Purchase Date in accordance with the ELOC Agreement (each such purchase, an “Additional VWAP Purchase”); provided, however, that the Institutional Investor’s aggregate committed obligation under a VWAP Purchase and all Additional VWAP Purchases on the applicable Additional VWAP Purchase Date, which Additional VWAP Purchase Date shall be the same trading day as the applicable VWAP Purchase Date for such VWAP Purchase, shall not exceed $4,500,000 in the aggregate for such VWAP Purchase and all such Additional VWAP Purchases, collectively.</w:t>
      </w:r>
    </w:p>
    <w:p>
      <w:pPr>
        <w:sectPr>
          <w:pgSz w:w="11900" w:h="16838" w:orient="portrait"/>
          <w:cols w:equalWidth="0" w:num="1">
            <w:col w:w="10960"/>
          </w:cols>
          <w:pgMar w:left="440" w:top="293" w:right="49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foregoing purchase terms are subject to certain conditions and limitations, including daily volume and dollar amount limitations with respect to each type of purchase described above within a given day, and a 4.99% beneficial ownership limitation with respect to the Institutional Investor’s ownership of the Company’s Common Stock.</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consideration for the Institutional Investor’s execution and delivery of the ELOC Agreement, the Company agreed to issue to the Institutional Investor on the effective date of the ELOC Registration Statement (as defined hereunder) $800,000 worth of the Company’s Common Stock, valued at the VWAP Purchase Price as of such effective date (the “Commitment Shares”). The Commitment Shares will be included in the ELOC Registration Statement.</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the terms of the ELOC Agreement, until either the stockholder approval (as defined in the ELOC Agreement) (the “Stockholder Approval for the ELOC”) is obtained or certain other conditions are met, the Company shall not sell shares of Common Stock to the Institutional Investor under the ELOC Agreement to the extent that after giving effect thereto, the aggregate number of shares of Common Stock that would be issued pursuant to the ELOC Agreement would exceed 19.99% of the number of shares of Common Stock issued and outstanding immediately prior to the execution of the ELOC Agreement. As previously reported, the Company reconvened its 2026 annual meeting of stockholders (the “Annual Meeting”) on June 8, 2026 and obtained, among others, the Stockholder Approval for the ELOC.</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Unless earlier terminated as provided thereunder, the ELOC Agreement shall terminate automatically on the earliest to occur of (i) the expiration of the ELOC Registration Statement pursuant to Rule 415(a)(5) of the Securities Act, (ii) the date on which the Institutional Investor shall have purchased the maximum amount pursuant to the ELOC Agreement, (iii) the date on which the Common Stock shall have failed to be listed or quoted on the Trading Market or any Eligible Market (both terms as defined in the ELOC Agreement), (iv) the 30th trading day following the date on which, pursuant to or within the meaning of the applicable bankruptcy law, the Company commences a voluntary case or any person commences a proceeding against the Company, in each case that is not discharged or dismissed prior to such 30th trading day, and (v) the date on which, pursuant to or within the meaning of any applicable bankruptcy law, a custodian is appointed for the Company or for all or substantially all of its property, or the Company makes a general assignment for the benefit of its creditors.</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ELOC Agreement may be terminated at any time by the mutual written consent of the parties, effective as of the date of such mutual written consent unless otherwise provided in such written consent. Either the Company or the Institutional Investor may also terminate the ELOC Agreement unilaterally under certain circumstances provided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ELOC Agreement includes representations, warranties, and covenants customary for a transaction of this type.</w:t>
      </w:r>
    </w:p>
    <w:p>
      <w:pPr>
        <w:spacing w:after="0" w:line="225"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In addition, pursuant to the ELOC Agreement, the Company entered into a registration rights agreement with the Institutional Investor (the “ELOC Registration Rights Agreement”), pursuant to which the Company is required to file a registration statement on Form S-1 (the “ELOC Registration Statement”) within 30 days after the execution date of the ELOC Agreement, to register the resale of all of (i) the shares of Common Stock to be sold and issued by the Company to the Institutional Investor under the ELOC Agreement, (ii) the Commitment Shares, and (iii) any securities of the Company issued or issuable with respect to the forementioned shares or Commitment Shares. The Company shall use its commercially reasonable efforts to have the ELOC Registration Statement declared effective by the U.S. Securities and Exchange Commission (the “SEC”) at the earliest practicable date.</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also agreed to other customary obligations regarding registration, including indemnification and maintenance of the effectiveness of the registration statement.</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Copies of the ELOC Agreement and the ELOC Registration Rights Agreement are filed as Exhibits 10.1 and 10.2, respectively, to this Current Report on Form 8-K, and such documents are incorporated herein by reference. The foregoing is only a brief description of the material terms of the ELOC Agreement and the ELOC Registration Rights Agreement, does not purport to be a complete description of the rights and obligations of the parties thereunder and is qualified in its entirety by reference to such exhibits.</w:t>
      </w:r>
    </w:p>
    <w:p>
      <w:pPr>
        <w:sectPr>
          <w:pgSz w:w="11900" w:h="16838" w:orient="portrait"/>
          <w:cols w:equalWidth="0" w:num="1">
            <w:col w:w="11000"/>
          </w:cols>
          <w:pgMar w:left="440" w:top="297"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Preferred Stock Financing</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June 9, 2026, the Company also entered into securities purchase agreements (each a “Preferred Stock Purchase Agreement” and collectively, the “Preferred Stock Purchase Agreements”) with certain investors named therein (collectively, the “Investors”), pursuant to which the Company agreed to issue and sell to the Investors in a private placement an aggregate of 240 shares (the “Preferred Shares”) of Series P Non-Convertible Preferred Stock, par value $0.0001 per share, of the Company (“Series P Preferred Stock”), for an aggregate purchase price of $2 million (the “Preferred Stock Financing”). The Preferred Stock Financing closed June 9, 2026. The Company intends to use the proceeds from the Preferred Stock Financing for general corporate purposes, subject to the restrictions set forth in the Preferred Stock Purchase Agreements.</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consideration for the Investors’ execution and delivery of the Preferred Stock Purchase Agreements, the Company agreed to issue to the Investors within one trading day after the filing date of the Preferred Registration Statement (as defined hereunder) pre-funded warrants (the “Commencement Pre-Funded Warrant”), exercisable to purchase up to an aggregate number of shares of Common Stock equal to $72,000 divided by the greater of (i) the average VWAP of the Common Stock over the five trading day period immediately preceding the filing of the initial Registration Statement, and (ii) 20% of the Nasdaq Minimum Price (as defined in Nasdaq Rule 5635(d)(1)(A)) of Common Stock on the execution date of the Preferred Stock Purchase Agreements. The shares of Common Stock issuable upon exercise of the Commencement Pre-Funded Warrant will be included in the Preferred Registration Statement.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Preferred Stock Purchase Agreements include representations, warranties, and covenants customary for a transaction of this type.</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pursuant to the Preferred Stock Purchase Agreements, the Company entered into a registration rights agreement with the Investors (the “Preferred Registration Rights Agreement”), pursuant to which the Company is required to file a registration statement on Form S-1 (the “Preferred Registration Statement”) within 30 days after the execution date of the Preferred Registration Rights Agreement, to register the resale of (i) all of the Redemption Shares (as defined hereunder) that may, from time to time, be issued or become issuable to the Investors under the Preferred Stock Purchase Agreements and the related Transaction Documents (as defined therein) (without regard to any limitation or restriction on purchases), (ii) the shares of Common Stock issued or issuable upon exercise of the Pre-Funded Warrants (as defined in the Preferred Stock Purchase Agreements) (the “Warrant Shares”), and (iii) any and all shares of capital stock issued or issuable with respect to the Redemption Shares or Warrant Shares as a result of any stock split, stock dividend, recapitalization, exchange or similar event or otherwise, without regard to any limitation on purchases under the Preferred Stock Purchase Agreements or the Transaction Documents. The Company shall use its commercially reasonable efforts to have the Preferred Registration Statement declared effective by the SEC at the earliest practicable date.</w:t>
      </w:r>
    </w:p>
    <w:p>
      <w:pPr>
        <w:spacing w:after="0" w:line="1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also agreed to other customary obligations regarding registration, including indemnification and maintenance of the effectiveness of the registration statement.</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the terms of the Preferred Stock Purchase Agreements and the terms of the Certificate of Designation of Preferences, Rights and Limitations of Series P Non-Convertible Preferred Stock (the “Certificate of Designation”) as described in Item 3.02 below, until the stockholder approval (as defined in the Preferred Stock Purchase Agreements and the Certificate of Designation, respectively) (the “Stockholder Approval for the Preferred Stock Financing”) is obtained, the Company shall not issue any shares of Common Stock upon redemption and/or exchange of the Preferred Shares, to the extent that after giving effect thereto, the aggregate number of shares of Common Stock that would be issued pursuant to the Preferred Stock Purchase Agreements and the Transaction Documents would exceed 19.99% of the number of shares of Common Stock issued and outstanding immediately prior to the execution of the Preferred Stock Purchase Agreements. As previously reported, the Company reconvened its Annual Meeting on June 8, 2026 and obtained, among others, the Stockholder Approval for the Preferred Stock Financing.</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form of the Preferred Stock Purchase Agreements, the Preferred Registration Rights Agreement, and the form of the Commencement Pre-Funded Warrant are filed as Exhibits 10.3, 10.4 and 4.1, respectively, to this Current Report on Form 8-K, and such documents are incorporated herein by reference. The foregoing is only a brief description of the material terms of the Preferred Stock Purchase Agreements, the Preferred Registration Rights Agreement, and the Commencement Pre-Funded Warrant, does not purport to be a complete description of the rights and obligations of the parties thereunder and is qualified in its entirety by reference to such exhibits.</w:t>
      </w:r>
    </w:p>
    <w:p>
      <w:pPr>
        <w:sectPr>
          <w:pgSz w:w="11900" w:h="16838" w:orient="portrait"/>
          <w:cols w:equalWidth="0" w:num="1">
            <w:col w:w="11000"/>
          </w:cols>
          <w:pgMar w:left="440" w:top="293" w:right="459" w:bottom="1440" w:gutter="0" w:footer="0" w:header="0"/>
        </w:sectPr>
      </w:pPr>
    </w:p>
    <w:bookmarkStart w:id="4" w:name="page5"/>
    <w:bookmarkEnd w:id="4"/>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contained above in Item 1.01 is hereby incorporated by reference into this Item 3.02 in its entirety. The securities of the Company offered and sold under the Preferred Stock Purchase Agreements and the ELOC Agreement, respectively, were (or will be) offered and sold in reliance upon exemptions from registration pursuant to 4(a)(2) under the Securities Act, and Rule 506 of Regulation D promulgated thereunder. The offering was made to “accredited investors” as defined by Rule 501 under the Securities Act.</w:t>
      </w:r>
    </w:p>
    <w:p>
      <w:pPr>
        <w:sectPr>
          <w:pgSz w:w="11900" w:h="16838" w:orient="portrait"/>
          <w:cols w:equalWidth="0" w:num="1">
            <w:col w:w="11000"/>
          </w:cols>
          <w:pgMar w:left="440" w:top="293" w:right="459" w:bottom="1440" w:gutter="0" w:footer="0" w:header="0"/>
        </w:sectPr>
      </w:pPr>
    </w:p>
    <w:bookmarkStart w:id="5" w:name="page6"/>
    <w:bookmarkEnd w:id="5"/>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P Certificate of Designation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disclosed under Items 1.01 and 3.02 above, in connection with the Preferred Stock Financing, the Company agreed to issue shares of Series P Preferred Stock to the Investors. The preferences, rights, limitations and other matters relating to the Series P Preferred Stock are set forth in the Certificate of Designation, which the Company filed with the Secretary of State of the State of Delaware on June 8, 2026. The Certificate of Designation became effective with the Secretary of State of the State of Delaware upon filing.</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Certificate of Designation authorizes the Company to issue up to 300 of its 4,475,074 authorized shares of preferred stock as Series P Preferred Stock.</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From and after the date of the first issuance of any shares of the Series P Preferred Stock (the “Original Issue Date”), each outstanding share of Series P Preferred Stock shall commence accruing dividends (“Dividends”) on the Stated Value of each share of Series P Preferred Stock (which is $10,000) at the rate of 8% per year. Dividends shall be payable in arrears on the first trading day of each fiscal quarter (each, a “Dividend Date”). Dividends shall be payable on each Dividend Date, to each record holder of shares of Series P Preferred Stock (each a “Holder” and collectively, the “Holders”) on the applicable Dividend Date, in shares of Common Stock (“Dividend Shares”) so long as the Equity Condition (as defined in the Certificate of Designation) is satisfied on the Dividend Date, or in cash, at the election of the Company. Dividends to be paid on a Dividend Date in Dividend Shares shall be paid in a number of fully paid and nonassessable shares (rounded to the nearest whole share) of Common Stock equal to the quotient obtained by dividing (i) the amount of Dividend payable on such Dividend Date less any cash dividend by (ii) the greater of (x) the Minimum Price (as defined in the Certificate of Designation) on the Dividend Date and (y) $0.546, subject to adjustment for reverse and forward stock splits, stock dividends, stock combinations and other similar transactions of the Common Stock (the “Floor Price”).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provided in the Certificate of Designation or as otherwise required by law, the Series P Preferred Stock shall have no voting rights.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11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 or Deemed Liquidation Event (as defined below) (each, a “Liquidation Event”), each share of Series P Preferred Stock shall be entitled to be paid, out of the assets of the Company available for distribution to its stockholders, before any distribution or payment out of the assets of the Company may be made to or set aside for the holders of any Junior Stock (as defined in the Certificate of Designation) and subject to (i) any existing or future secured or unsecured indebtedness and other liabilities (including trade payables) of the Company, and (ii) the rights of the holders of any class or series of securities ranking on parity with Series P Preferred Stock upon any such Liquidation Event and the rights of the Company’s depositors and other creditors, an amount per share of Series P Preferred Stock equal to the Stated Value at such time plus any accrued but unpaid Dividend (as applicable, the “Liquidation Amount”). If upon any such liquidation, dissolution or winding up of the Company (other than a Chapter 7 bankruptcy) or Deemed Liquidation Event, the assets of the Company available for distribution to its stockholders shall be insufficient to pay the Liquidation Amount, the Holders of shares of Series P Preferred Stock and the holders of all Parity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Following the payment of the Liquidation Amount, if there are any remaining assets of the Company available for distribution to its stockholders, the Series P Preferred Stock shall not participate in such distributions. Notwithstanding the foregoing, if in the event of a dissolution or winding up of the</w:t>
      </w:r>
    </w:p>
    <w:p>
      <w:pPr>
        <w:sectPr>
          <w:pgSz w:w="11900" w:h="16838" w:orient="portrait"/>
          <w:cols w:equalWidth="0" w:num="1">
            <w:col w:w="11000"/>
          </w:cols>
          <w:pgMar w:left="440" w:top="293" w:right="459" w:bottom="1440" w:gutter="0" w:footer="0" w:header="0"/>
        </w:sectPr>
      </w:pPr>
    </w:p>
    <w:bookmarkStart w:id="6" w:name="page7"/>
    <w:bookmarkEnd w:id="6"/>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Company in connection with a Chapter 7 bankruptcy, the assets of the Company available for distribution to its stockholders shall be insufficient to pay the Liquidation Amount, the Holders with respect to their shares of Series P Preferred Stock shall be entitled to receive out of such assets the same amount that each share of the Common Stock would receive as if each outstanding share of Series P Preferred Stock were, immediately prior to the applicable record date, fully converted (disregarding solely for such purposes any redemption or exchange limitations hereunder) to shares of Common Stock by dividing (i) Liquidation Amount by (ii) the greater of (x) the Minimum Price as of the record date and (y) the Floor Price, which amounts shall be paid pari passu with all holders of Common Stock.</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of the following events shall be considered a “Deemed Liquidation Event”: (a) (A) a merger or consolidation in which the Company is a constituent party and in which the stockholders of the Company immediately prior to such merger or consolidation do not continue to hold a majority of the voting power of the Company or any successor entity following such merger or consolidation; or (b) the sale, lease, transfer, exclusive license or other disposition, in a single transaction or series of related transactions, by the Company or any subsidiary of the Company of all or substantially all the assets of the Company and its subsidiaries taken as a whole, or the sale or disposition (whether by merger, consolidation or otherwise) of one or more subsidiaries of the Company if substantially all of the assets of the Company and its subsidiaries taken as a whole are held by such subsidiary or subsidiaries, except where such sale, lease, transfer, exclusive license or other disposition is to a wholly owned subsidiary of the Company; provided, however, that any of the foregoing events shall not constitute a Deemed Liquidation Event if the Company is a surviving entity that is listed or quoted for trading on a Trading Market immediately after such event. The Company shall not have the power to effect a Deemed Liquidation Event unless the agreement or plan of merger or consolidation for such transaction (the “Merger Agreement’) provides that the consideration payable to the Series P Preferred Stock shall be allocated in accordance with the Certificate of Designation.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Series P Preferred Stock shall not be convertible into Common Stock or any other security of the Company and does not otherwise have any conversion rights.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Mandatory Redemption</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No later than two (2) trading days following receipt by the Company of the net proceeds from any put request made by the Company pursuant to the ELOC Agreement, the Company shall redeem shares of Series P Preferred Stock outstanding at such time, at a per share redemption price equal to the Liquidation Amount and an aggregate redemption price equal to not less than 10% of such proceeds, to be paid, at the Company’s sole discretion, in cash or in such number of shares of Common Stock (the “Mandatory Redemption Shares”) equal to the quotient obtained by dividing (i) the Liquidation Amount by (ii) the greater of (x) the Minimum Price as of the date that the Mandatory Redemption Notice (as defined in the Certificate of Designation) is delivered by the Company to the Holders and (y) the Floor Price (the “Mandatory Redemption Ratio”).</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Optional Redemption</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at the option of its board of directors, or any duly authorized committee thereof, may, at any time after the Original Issue Date, redeem, in whole or in part, the shares of Series P Preferred Stock at the time outstanding, at a redemption price equal to the Liquidation Amount per share, with the redemption price to be paid, at the Company’s sole discretion, in cash or in such number of shares of Common Stock (the “Optional Redemption Shares”) equal to the quotient obtained by dividing (i) the Liquidation Amount by (ii) the greater of (x) the Minimum Price as of the date that the Optional Redemption Notice (as defined in the Certificate of Designation) is delivered by the Company to the Holders and (y) the Floor Price (the “Optional Redemption Ratio”).</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 on Redemption</w:t>
      </w:r>
    </w:p>
    <w:p>
      <w:pPr>
        <w:spacing w:after="0" w:line="11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the Certificate of Designation, the Company shall not issue any Redemption Shares or Dividend Shares to the extent that after such issuance, the Holder who would receive such shares together with the other Attribution Parties (as defined in the Certificate of Designation) collectively would beneficially own in excess of 4.99% (as may be adjusted from time to time in accordance with the Certificate of</w:t>
      </w:r>
    </w:p>
    <w:p>
      <w:pPr>
        <w:sectPr>
          <w:pgSz w:w="11900" w:h="16838" w:orient="portrait"/>
          <w:cols w:equalWidth="0" w:num="1">
            <w:col w:w="10980"/>
          </w:cols>
          <w:pgMar w:left="440" w:top="297" w:right="479" w:bottom="1440" w:gutter="0" w:footer="0" w:header="0"/>
        </w:sectPr>
      </w:pPr>
    </w:p>
    <w:bookmarkStart w:id="7" w:name="page8"/>
    <w:bookmarkEnd w:id="7"/>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Designation, the “Maximum Percentage”) of the shares of Common Stock outstanding immediately after giving effect to such issuance. With the prior written consent of the Company, any Holder may from time to time increase or decrease the Maximum Percentage of such Holder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such Holder and not to any other Holder.</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event that the issuance of shares of Common Stock to a Holder upon redemption of such shares of Series P Preferred Stock or payment of the accrued and unpaid Dividend results in such Holder and the other Attribution Parties being deemed to beneficially own, in the aggregate, more than the Maximum Percentage of the number of outstanding shares of Common Stock, the Company may, in lieu of the shares that would otherwise be issued by which such Holder’s and the other Attribution Parties’ aggregate beneficial ownership exceeds the Maximum Percentage (the “Excess Shares”), elect to issue to such Holder, for the same redemption price or a price equal to the accrued and unpaid Dividend (as applicable), a pre-funded warrant to purchase up to the number of the Excess Shares.</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Notwithstanding the foregoing, the Company will not have the right to redeem any shares of Series P Preferred Stock and issue any Redemption Shares or pay any accrued and unpaid Dividend in Dividend Shares to any Holder if the total cumulative number of the Redemption Shares and the Dividend Shares issued to such Holder would exceed the Redemption Cap (as defined in the Certificate of Designation) unless (i) the Stockholder Approval for the Preferred Stock Financing is obtained to issue more than the Redemption Cap, or (ii) the Common Stock is not listed or quoted for trading on any Trading Market (as defined in the Certificate of Designation).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Triggering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Triggering Events set forth in the Certificate of Designation include, among others:</w:t>
      </w:r>
    </w:p>
    <w:p>
      <w:pPr>
        <w:spacing w:after="0" w:line="131" w:lineRule="exact"/>
        <w:rPr>
          <w:sz w:val="20"/>
          <w:szCs w:val="20"/>
          <w:color w:val="auto"/>
        </w:rPr>
      </w:pPr>
    </w:p>
    <w:p>
      <w:pPr>
        <w:jc w:val="both"/>
        <w:ind w:left="960" w:right="300" w:hanging="532"/>
        <w:spacing w:after="0" w:line="261"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file the applicable Registration Statement (as defined in the Preferred Registration Rights Agreement) with the SEC on or prior to the date that is five days after the applicable Filing Deadline (as defined in the Registration Rights Agreement) or the failure to cause the applicable Registration Statement to be declared effective by the Commission on or prior to the date that is five days after the Commission indicates that it has no further comments to the Registration Statement;</w:t>
      </w:r>
    </w:p>
    <w:p>
      <w:pPr>
        <w:spacing w:after="0" w:line="85" w:lineRule="exact"/>
        <w:rPr>
          <w:rFonts w:ascii="Times New Roman" w:cs="Times New Roman" w:eastAsia="Times New Roman" w:hAnsi="Times New Roman"/>
          <w:sz w:val="18"/>
          <w:szCs w:val="18"/>
          <w:color w:val="auto"/>
        </w:rPr>
      </w:pPr>
    </w:p>
    <w:p>
      <w:pPr>
        <w:ind w:left="960" w:hanging="532"/>
        <w:spacing w:after="0" w:line="255"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applicable Registration Statement is required to be maintained effective pursuant to the terms of the Registration Rights Agreement, the effectiveness of the applicable Registration Statement lapses for any reason (including, without limitation, the issuance of a stop order) or such Registration Statement (or the prospectus contained therein) is unavailable to any holder of Registrable Securities (as defined in the Registration Rights Agreement) for sale of all of such holder’s Registrable Securities in accordance with the terms of the Registration Rights Agreement, and such lapse or unavailability continues for a period of ten consecutive days or for more than an aggregate of 20 days in any 365-day period (excluding days during an Allowable Grace Period (as defined in the Registration Rights Agreement));</w:t>
      </w:r>
    </w:p>
    <w:p>
      <w:pPr>
        <w:spacing w:after="0" w:line="94"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from trading or the failure of the Common Stock to be listed or quoted for trading on a Trading Market for a period of five consecutive trading days;</w:t>
      </w:r>
    </w:p>
    <w:p>
      <w:pPr>
        <w:spacing w:after="0" w:line="67" w:lineRule="exact"/>
        <w:rPr>
          <w:rFonts w:ascii="Times New Roman" w:cs="Times New Roman" w:eastAsia="Times New Roman" w:hAnsi="Times New Roman"/>
          <w:sz w:val="18"/>
          <w:szCs w:val="18"/>
          <w:color w:val="auto"/>
        </w:rPr>
      </w:pPr>
    </w:p>
    <w:p>
      <w:pPr>
        <w:ind w:left="960" w:hanging="532"/>
        <w:spacing w:after="0" w:line="261"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to any Holder any Dividend on any Dividend Date (whether or not declared by the Board of Directors) or any other amount when and as due under the Certificate of Designation, the Preferred Stock Purchase Agreement or any other Transaction Document (as defined in the Preferred Stock Purchase Agreement) or any other agreement, document, certificate or other instrument delivered</w:t>
      </w:r>
    </w:p>
    <w:p>
      <w:pPr>
        <w:sectPr>
          <w:pgSz w:w="11900" w:h="16838" w:orient="portrait"/>
          <w:cols w:equalWidth="0" w:num="1">
            <w:col w:w="11000"/>
          </w:cols>
          <w:pgMar w:left="440" w:top="297" w:right="459" w:bottom="1440" w:gutter="0" w:footer="0" w:header="0"/>
        </w:sectPr>
      </w:pPr>
    </w:p>
    <w:bookmarkStart w:id="8" w:name="page9"/>
    <w:bookmarkEnd w:id="8"/>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 connection with the transactions contemplated hereby and thereby (in each case, whether or not permitted pursuant to the Delaware General Corporation Law), except, in the case of a failure to pay Dividends when and as due, in each such case only if such failure remains uncured for a period of at least two trading days; or</w:t>
      </w:r>
    </w:p>
    <w:p>
      <w:pPr>
        <w:sectPr>
          <w:pgSz w:w="11900" w:h="16838" w:orient="portrait"/>
          <w:cols w:equalWidth="0" w:num="1">
            <w:col w:w="10020"/>
          </w:cols>
          <w:pgMar w:left="1420" w:top="297" w:right="459" w:bottom="1440" w:gutter="0" w:footer="0" w:header="0"/>
        </w:sectPr>
      </w:pPr>
    </w:p>
    <w:bookmarkStart w:id="9" w:name="page10"/>
    <w:bookmarkEnd w:id="9"/>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any shares of Series P Preferred Stock remain outstanding on or after the third anniversary of the Original Issue Date.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Consequences of Triggering Events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a Triggering Event has occurred (i) the Required Holders (as defined in the Certificate of Designation) may, by notice to the Company (the “Notice of Forced Redemption”), force the Company to redeem all of the issued and outstanding shares of Series P Preferred Stock then held by the Holders for a price equal to (1) the Stated Value, plus (2) any accrued and unpaid Dividend with respect to all such shares of Series P Preferred Stock, plus (3) any and all other amounts (the “Other Amounts”) due and payable to the Holders pursuant to the Certificate of Designation of all such shares of Series P Preferred Stock (collectively, the “Total Amounts”), with such Total Amounts to be paid in such number of shares of Common Stock equal to the quotient obtained by dividing the Total Amounts by the greater of (x) the Minimum Price as of the date that a Notice of Forced Redemption is delivered by the Required Holders to the Company and (y) the Floor Price (collectively, the “Forced Redemption Shares”, and together with the Mandatory Redemption Shares and the Optional Redemption Shares, collectively the “Redemption Shares”); (ii) the Holders shall have the right to pursue any other remedies that the Required Holders may have under applicable law and/or in equity; and (iii) the Holders shall have the right to seek and receive injunctive relief from a court prohibiting the Company from issuing any of its Common Stock or Preferred Stock to any party unless the all shares of Series P Preferred Stock owned by the Holders are redeemed in full simultaneously with such issuance. Notwithstanding the foregoing, Holder will not have the right to force the Company to redeem any shares of Series P Preferred Stock and issue any Forced Redemption Shares if the total cumulative number of the Redemption Shares and Dividend Shares issued to such Holder would exceed the Redemption Cap unless (i) the Stockholder Approval is obtained to issue more than the Redemption Cap, or (ii) the Common Stock is not listed or quoted for trading on a Trading Market.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Market</w:t>
      </w:r>
    </w:p>
    <w:p>
      <w:pPr>
        <w:spacing w:after="0" w:line="11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There is no established trading market for any of the Series P Preferred Stock, and the Company does not expect a market to develop. The Company does not intend to apply for a listing for any of the Series P Preferred Stock on any securities exchange or other nationally recognized trading system. Without an active trading market, the liquidity of the Series P Preferred Stock will be limited.</w:t>
      </w:r>
    </w:p>
    <w:p>
      <w:pPr>
        <w:sectPr>
          <w:pgSz w:w="11900" w:h="16838" w:orient="portrait"/>
          <w:cols w:equalWidth="0" w:num="1">
            <w:col w:w="11000"/>
          </w:cols>
          <w:pgMar w:left="440" w:top="297" w:right="459" w:bottom="1440" w:gutter="0" w:footer="0" w:header="0"/>
        </w:sectPr>
      </w:pPr>
    </w:p>
    <w:bookmarkStart w:id="10" w:name="page11"/>
    <w:bookmarkEnd w:id="10"/>
    <w:p>
      <w:pPr>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foregoing description of the Certificate of Designation does not purport to be complete and is qualified in its entirety by reference to the full text of the Certificate of Designation, a copy of which is filed as Exhibit 3.1 to this Current Report on Form 8-K and is incorporated by reference herein.</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91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ind w:left="84" w:hanging="84"/>
        <w:spacing w:after="0"/>
        <w:tabs>
          <w:tab w:leader="none" w:pos="8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w:t>
      </w:r>
      <w:r>
        <w:rPr>
          <w:rFonts w:ascii="Times New Roman" w:cs="Times New Roman" w:eastAsia="Times New Roman" w:hAnsi="Times New Roman"/>
          <w:sz w:val="17"/>
          <w:szCs w:val="17"/>
          <w:u w:val="single" w:color="auto"/>
          <w:color w:val="0000EE"/>
        </w:rPr>
        <w:t>Certificate of Designation of Preferences, Rights and Limitations of Series P Non-Convertible Preferred Stock.</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w:t>
      </w:r>
      <w:r>
        <w:rPr>
          <w:rFonts w:ascii="Times New Roman" w:cs="Times New Roman" w:eastAsia="Times New Roman" w:hAnsi="Times New Roman"/>
          <w:sz w:val="17"/>
          <w:szCs w:val="17"/>
          <w:u w:val="single" w:color="auto"/>
          <w:color w:val="0000EE"/>
        </w:rPr>
        <w:t>Form of the Commencement Pre-Funded Warrant.</w:t>
      </w:r>
    </w:p>
    <w:p>
      <w:pPr>
        <w:spacing w:after="0" w:line="129"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ELOC Agreement, dated June 9, 2026, by and between Jaguar Health, Inc. and the Institutional Investor named therein.</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ELOC Registration Rights Agreement, dated June 9, 2026, by and between Jaguar Health, Inc. and the Institutional Investor named therein.</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u w:val="single" w:color="auto"/>
          <w:color w:val="0000EE"/>
        </w:rPr>
        <w:t>Form of the Preferred Stock Purchase Agreements.</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u w:val="single" w:color="auto"/>
          <w:color w:val="0000EE"/>
        </w:rPr>
        <w:t>Preferred Registration Rights Agreement, dated June 9, 2026, by and between Jaguar Health, Inc. and the Investors named therein.</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24"/>
          </w:cols>
          <w:pgMar w:left="436" w:top="297" w:right="539" w:bottom="1440" w:gutter="0" w:footer="0" w:header="0"/>
        </w:sectPr>
      </w:pPr>
    </w:p>
    <w:bookmarkStart w:id="11" w:name="page12"/>
    <w:bookmarkEnd w:id="11"/>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JAGUAR HEALTH,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Lisa A. Conte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Lisa A. Conte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 &amp; President</w:t>
      </w:r>
    </w:p>
    <w:p>
      <w:pPr>
        <w:sectPr>
          <w:pgSz w:w="11900" w:h="16838" w:orient="portrait"/>
          <w:cols w:equalWidth="0" w:num="1">
            <w:col w:w="10260"/>
          </w:cols>
          <w:pgMar w:left="440" w:top="293" w:right="119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JAGUAR HEALTH,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DESIGNATION OF PREFERENCES,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RIGHTS AND LIMITATIONS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SERIES P NON-CONVERTIBLE PREFERRED STOCK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Lisa A. Conte and Carol R. Lizak, do hereby certify that:</w:t>
      </w:r>
    </w:p>
    <w:p>
      <w:pPr>
        <w:spacing w:after="0" w:line="117" w:lineRule="exact"/>
        <w:rPr>
          <w:sz w:val="20"/>
          <w:szCs w:val="20"/>
          <w:color w:val="auto"/>
        </w:rPr>
      </w:pPr>
    </w:p>
    <w:p>
      <w:pPr>
        <w:ind w:right="300" w:firstLine="436"/>
        <w:spacing w:after="0" w:line="282"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the Chief Executive Officer/President and Chief Financial Officer, respectively, of Jaguar Health, Inc.,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resolutions were duly adopted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WHEREAS, the certificate of incorporation of the Corporation provides for a class of its authorized stock known as preferred stock, consisting of 4,475,074 shares, $0.0001 par value per share, issuable from time to time in one or more series;</w:t>
      </w:r>
    </w:p>
    <w:p>
      <w:pPr>
        <w:spacing w:after="0" w:line="162"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WHEREAS, the Board of Directors is authorized to fix the dividend rights, dividend rate, voting rights, conversion rights, rights and terms of redemption and liquidation preferences of any wholly unissued series of preferred stock and the number of shares constituting any series and the designation thereof, of any of them; and</w:t>
      </w:r>
    </w:p>
    <w:p>
      <w:pPr>
        <w:spacing w:after="0" w:line="176"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WHEREAS, it is the desire of the Board of Directors, pursuant to its authority as aforesaid, to fix the rights, preferences, restrictions and other matters relating to a series of the preferred stock, which shall consist of 300 shares of the preferred stock which the Corporation has the authority to issue, as follows:</w:t>
      </w:r>
    </w:p>
    <w:p>
      <w:pPr>
        <w:spacing w:after="0" w:line="176"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NOW, THEREFORE, BE IT RESOLVED, that the Board of Directors does hereby provide for the issuance of a series of preferred stock for cash or exchange of other securities, rights, powers, property, or other lawful consideration and does hereby fix and determine the rights, preferences, restrictions and other matters relating to such series of preferred stock as follows: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OF SERIES P NON-CONVERTIBLE PREFERRED STOCK</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 Definitions</w:t>
      </w:r>
      <w:r>
        <w:rPr>
          <w:rFonts w:ascii="Times New Roman" w:cs="Times New Roman" w:eastAsia="Times New Roman" w:hAnsi="Times New Roman"/>
          <w:sz w:val="18"/>
          <w:szCs w:val="18"/>
          <w:color w:val="auto"/>
        </w:rPr>
        <w:t>. For the purposes hereof, the following terms shall have the following meanings:</w:t>
      </w:r>
    </w:p>
    <w:p>
      <w:pPr>
        <w:spacing w:after="0" w:line="117" w:lineRule="exact"/>
        <w:rPr>
          <w:sz w:val="20"/>
          <w:szCs w:val="20"/>
          <w:color w:val="auto"/>
        </w:rPr>
      </w:pPr>
    </w:p>
    <w:p>
      <w:pPr>
        <w:ind w:left="440" w:right="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of the Securities Act.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13" w:name="page14"/>
    <w:bookmarkEnd w:id="13"/>
    <w:p>
      <w:pPr>
        <w:ind w:firstLine="423"/>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Original Issue Date, directly or indirectly managed or advised by a Holder’s investment manager or any of its Affiliates or principals, (ii) any direct or indirect Affiliates of such Holder or any of the foregoing, (iii) any Person acting or who could be deemed to be acting as a Group together with such Holder or any of the foregoing and (iv) any other Persons whose beneficial ownership of the Corporation’s Common Stock would or could be aggregated with such Holder’s and the other Attribution Parties for purposes of Section 13(d) of the Exchange Act. For clarity, the purpose of the foregoing is to subject collectively such Holder and all other Attribution Parties to the Maximum Percentage.</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Designation</w:t>
      </w:r>
      <w:r>
        <w:rPr>
          <w:rFonts w:ascii="Times New Roman" w:cs="Times New Roman" w:eastAsia="Times New Roman" w:hAnsi="Times New Roman"/>
          <w:sz w:val="18"/>
          <w:szCs w:val="18"/>
          <w:color w:val="auto"/>
        </w:rPr>
        <w:t>” means this Certificate of Designation.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117" w:lineRule="exact"/>
        <w:rPr>
          <w:sz w:val="20"/>
          <w:szCs w:val="20"/>
          <w:color w:val="auto"/>
        </w:rPr>
      </w:pPr>
    </w:p>
    <w:p>
      <w:pPr>
        <w:ind w:right="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Corporation’s voting common stock, par value $0.0001 per share, and stock of any other class of securities into which such securities may hereafter be reclassified or changed.</w:t>
      </w:r>
    </w:p>
    <w:p>
      <w:pPr>
        <w:spacing w:after="0" w:line="54" w:lineRule="exact"/>
        <w:rPr>
          <w:sz w:val="20"/>
          <w:szCs w:val="20"/>
          <w:color w:val="auto"/>
        </w:rPr>
      </w:pPr>
    </w:p>
    <w:p>
      <w:pPr>
        <w:ind w:right="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Corporation or its subsidiaries which would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Deemed Liquidation Event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Delaware Courts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ELOC Agreement</w:t>
      </w:r>
      <w:r>
        <w:rPr>
          <w:rFonts w:ascii="Times New Roman" w:cs="Times New Roman" w:eastAsia="Times New Roman" w:hAnsi="Times New Roman"/>
          <w:sz w:val="18"/>
          <w:szCs w:val="18"/>
          <w:color w:val="auto"/>
        </w:rPr>
        <w:t>” means that certain securities purchase agreement, dated June 9, 2026, by and between the Corporation and C/M Capital Master Fund, LP (and its affiliates) (“</w:t>
      </w:r>
      <w:r>
        <w:rPr>
          <w:rFonts w:ascii="Times New Roman" w:cs="Times New Roman" w:eastAsia="Times New Roman" w:hAnsi="Times New Roman"/>
          <w:sz w:val="18"/>
          <w:szCs w:val="18"/>
          <w:u w:val="single" w:color="auto"/>
          <w:color w:val="auto"/>
        </w:rPr>
        <w:t>C/M Capital</w:t>
      </w:r>
      <w:r>
        <w:rPr>
          <w:rFonts w:ascii="Times New Roman" w:cs="Times New Roman" w:eastAsia="Times New Roman" w:hAnsi="Times New Roman"/>
          <w:sz w:val="18"/>
          <w:szCs w:val="18"/>
          <w:color w:val="auto"/>
        </w:rPr>
        <w:t>”) for a $40 million equity line of credit.</w:t>
      </w:r>
    </w:p>
    <w:p>
      <w:pPr>
        <w:spacing w:after="0" w:line="54" w:lineRule="exact"/>
        <w:rPr>
          <w:sz w:val="20"/>
          <w:szCs w:val="20"/>
          <w:color w:val="auto"/>
        </w:rPr>
      </w:pPr>
    </w:p>
    <w:p>
      <w:pPr>
        <w:ind w:right="60" w:firstLine="42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Condition</w:t>
      </w:r>
      <w:r>
        <w:rPr>
          <w:rFonts w:ascii="Times New Roman" w:cs="Times New Roman" w:eastAsia="Times New Roman" w:hAnsi="Times New Roman"/>
          <w:sz w:val="18"/>
          <w:szCs w:val="18"/>
          <w:color w:val="auto"/>
        </w:rPr>
        <w:t>” means that so long as any shares of Series P Preferred Stock remain outstanding, the Corporation shall (i) at all times reserve at least 150% of the number of shares of Common Stock as shall from time to time be necessary to effect the redemption of all of the shares of Series P Preferred Stock then outstanding at the Floor Price (without regard to any limitations on redemptions) (the “</w:t>
      </w:r>
      <w:r>
        <w:rPr>
          <w:rFonts w:ascii="Times New Roman" w:cs="Times New Roman" w:eastAsia="Times New Roman" w:hAnsi="Times New Roman"/>
          <w:sz w:val="18"/>
          <w:szCs w:val="18"/>
          <w:u w:val="single" w:color="auto"/>
          <w:color w:val="auto"/>
        </w:rPr>
        <w:t>Required Reserve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(ii) with respect to an given date of determination, all shares of Common Stock to be issued in connection with the event requiring this determination, as applicable, shall be eligible for sale pursuant to an effective registration statement or in compliance with Rule 144 (as defined in the Preferred Stock Purchase Agreement) without the need for registration under any applicable federal or state securities laws, and the Company shall be current in the filing of its periodic reports with the Commission; (iii) the Common Stock is listed or designated for quotation (as applicable) on a Trading Market and shall not have</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0"/>
          </w:cols>
          <w:pgMar w:left="880" w:top="270" w:right="459" w:bottom="1440" w:gutter="0" w:footer="0" w:header="0"/>
        </w:sectPr>
      </w:pPr>
    </w:p>
    <w:bookmarkStart w:id="14" w:name="page15"/>
    <w:bookmarkEnd w:id="14"/>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been suspended from trading on a Trading Market nor shall delisting or suspension by a Trading Market have been threatened (with a reasonable prospect of delisting occurring after giving effect to all applicable notice, appeal, compliance and hearing periods) or reasonably likely to occur or pending as evidenced by (A) a writing by such Trading Market or (B) the Company falling below the minimum listing maintenance requirements of the Trading Market on which the Common Stock is then listed or designated for quotation, as applicable; (iv) on the applicable date of determination, the Company shall have delivered all shares of Common Stock issuable to Holder on a timely basis as set forth herein and all other shares of capital stock required to be delivered by the Company on a timely basis as set forth in the other Transaction Documents (as defined in the Preferred Stock Purchase Agreement); (v) any shares of Common Stock to be issued in connection with the event requiring determination may be issued in full without violating Section 8(a) hereof; (vi) no Holder shall be in possession of any material, non-public information provided to any of them by the Company, any of its Subsidiaries or any of their respective affiliates, employees, officers, representatives, agents or the like;</w:t>
      </w:r>
    </w:p>
    <w:p>
      <w:pPr>
        <w:spacing w:after="0" w:line="6" w:lineRule="exact"/>
        <w:rPr>
          <w:sz w:val="20"/>
          <w:szCs w:val="20"/>
          <w:color w:val="auto"/>
        </w:rPr>
      </w:pPr>
    </w:p>
    <w:p>
      <w:pPr>
        <w:ind w:left="4" w:right="60" w:hanging="4"/>
        <w:spacing w:after="0" w:line="252" w:lineRule="auto"/>
        <w:tabs>
          <w:tab w:leader="none" w:pos="3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date of determination, the Company otherwise shall have been in compliance with each, and shall not have breached any representation or warranty in any material respect (other than representations or warranties subject to material adverse effect or materiality, which may not be breached in any respect) or any covenant or other term or condition of any Transaction Document, including, without limitation, the Company shall not have failed to timely make any payment pursuant to any Transaction Document; (ix) there shall not have occurred and there shall not exist a Triggering Event or an event that with the passage of time or giving of notice would constitute a Triggering Event; or (x) the shares of Common Stock issuable pursuant to the event requiring the satisfaction of the Equity Conditions are duly authorized and listed and eligible for trading without restriction on a Trading Market.</w:t>
      </w:r>
    </w:p>
    <w:p>
      <w:pPr>
        <w:spacing w:after="0" w:line="80" w:lineRule="exact"/>
        <w:rPr>
          <w:sz w:val="20"/>
          <w:szCs w:val="20"/>
          <w:color w:val="auto"/>
        </w:rPr>
      </w:pPr>
    </w:p>
    <w:p>
      <w:pPr>
        <w:ind w:left="4" w:right="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Condition Failure</w:t>
      </w:r>
      <w:r>
        <w:rPr>
          <w:rFonts w:ascii="Times New Roman" w:cs="Times New Roman" w:eastAsia="Times New Roman" w:hAnsi="Times New Roman"/>
          <w:sz w:val="18"/>
          <w:szCs w:val="18"/>
          <w:color w:val="auto"/>
        </w:rPr>
        <w:t>” means that on any day during the period from the Original Issue Date until no shares of Series P Preferred Stock remain outstanding, the Equity Condition has not been satisfied.</w:t>
      </w:r>
    </w:p>
    <w:p>
      <w:pPr>
        <w:spacing w:after="0" w:line="54" w:lineRule="exact"/>
        <w:rPr>
          <w:sz w:val="20"/>
          <w:szCs w:val="20"/>
          <w:color w:val="auto"/>
        </w:rPr>
      </w:pPr>
    </w:p>
    <w:p>
      <w:pPr>
        <w:ind w:left="4" w:right="1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Common Stock, Common Stock Equivalents, Preferred Stock and any option, warrant, or right to subscribe for, acquire or purchase Common Stock or Preferred Stock.</w:t>
      </w:r>
    </w:p>
    <w:p>
      <w:pPr>
        <w:spacing w:after="0" w:line="54"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17" w:lineRule="exact"/>
        <w:rPr>
          <w:sz w:val="20"/>
          <w:szCs w:val="20"/>
          <w:color w:val="auto"/>
        </w:rPr>
      </w:pPr>
    </w:p>
    <w:p>
      <w:pPr>
        <w:ind w:left="4" w:right="6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Quarter</w:t>
      </w:r>
      <w:r>
        <w:rPr>
          <w:rFonts w:ascii="Times New Roman" w:cs="Times New Roman" w:eastAsia="Times New Roman" w:hAnsi="Times New Roman"/>
          <w:sz w:val="18"/>
          <w:szCs w:val="18"/>
          <w:color w:val="auto"/>
        </w:rPr>
        <w:t>” means each of the fiscal quarters adopted by the Corporation for financial reporting purposes that correspond to the Corporation’s fiscal year.</w:t>
      </w:r>
    </w:p>
    <w:p>
      <w:pPr>
        <w:spacing w:after="0" w:line="54" w:lineRule="exact"/>
        <w:rPr>
          <w:sz w:val="20"/>
          <w:szCs w:val="20"/>
          <w:color w:val="auto"/>
        </w:rPr>
      </w:pPr>
    </w:p>
    <w:p>
      <w:pPr>
        <w:ind w:left="4" w:right="26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means: (i) the Corporation, directly or indirectly, in one or more related transactions effects any merger or consolidation of the Corporation with or into another Person other than any subsidiary or any Affiliate of the Corporation, whereby the stockholders of the Corporation immediately prior to such merger or consolidation do not own, directly or indirectly, at least 50% of the voting power of the surviving entity immediately after such merger or consolidation, (ii) the Corporation, directly or indirectly,</w:t>
      </w:r>
    </w:p>
    <w:p>
      <w:pPr>
        <w:spacing w:after="0" w:line="112"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4"/>
          </w:cols>
          <w:pgMar w:left="876" w:top="270" w:right="479" w:bottom="1440" w:gutter="0" w:footer="0" w:header="0"/>
        </w:sectPr>
      </w:pPr>
    </w:p>
    <w:bookmarkStart w:id="15" w:name="page16"/>
    <w:bookmarkEnd w:id="1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effects any sale, lease, license, assignment, transfer, conveyance or other disposition of all or substantially all of its assets in one or a series of related transactions, (iii) any, direct or indirect, purchase offer, tender offer or exchange offer (whether by the Corporation or another Person) is completed pursuant to which holders of Common Stock are permitted to sell, tender or exchange their shares for other securities, cash or property and has been accepted by the holders of 50% or more of the outstanding Common Stock, (iv) the Corporation,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(v) the Corporation,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(vi) the sale or spin-off of any Subsidiaries, and (vii) a Deemed Liquidation Event. For the avoidance of doubt, any license agreement entered into in the ordinary course of business by the Corporation or any Subsidiary will not be considered a Fundamental Transaction.</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means a “group” as that term is used in Section 13(d) of the Exchange Act and as defined in Rule 13d-5 thereunder.</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xml:space="preserve">” shall have the meaning given such term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Stock</w:t>
      </w:r>
      <w:r>
        <w:rPr>
          <w:rFonts w:ascii="Times New Roman" w:cs="Times New Roman" w:eastAsia="Times New Roman" w:hAnsi="Times New Roman"/>
          <w:sz w:val="18"/>
          <w:szCs w:val="18"/>
          <w:color w:val="auto"/>
        </w:rPr>
        <w:t>” means the Common Stock and any other class or series of stock of the Corporation hereafter authorized over which Series P Preferred Stock has preference or priority in the distribution of assets on any voluntary or involuntary liquidation, dissolution or winding up of the Corporation; provided that the authorization of any Junior Stock having a maturity date or any other date requiring redemption or repayment of such class or series of Junior Stock that is prior to the second anniversary of the Original Issue Date must be approved by the affirmative written consent or vote of the Required Holders.</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Event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Price</w:t>
      </w:r>
      <w:r>
        <w:rPr>
          <w:rFonts w:ascii="Times New Roman" w:cs="Times New Roman" w:eastAsia="Times New Roman" w:hAnsi="Times New Roman"/>
          <w:sz w:val="18"/>
          <w:szCs w:val="18"/>
          <w:color w:val="auto"/>
        </w:rPr>
        <w:t>” means, with respect to a given date, the lower of: (i) the Nasdaq official closing price (as reflected on Nasdaq.com) immediately preceding such date or (ii) the average Nasdaq official closing price of the Common Stock (as reflected on Nasdaq.com) for the five (5) Trading Days immediately preceding such date.</w:t>
      </w:r>
    </w:p>
    <w:p>
      <w:pPr>
        <w:spacing w:after="0" w:line="68" w:lineRule="exact"/>
        <w:rPr>
          <w:sz w:val="20"/>
          <w:szCs w:val="20"/>
          <w:color w:val="auto"/>
        </w:rPr>
      </w:pPr>
    </w:p>
    <w:p>
      <w:pPr>
        <w:ind w:right="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Date</w:t>
      </w:r>
      <w:r>
        <w:rPr>
          <w:rFonts w:ascii="Times New Roman" w:cs="Times New Roman" w:eastAsia="Times New Roman" w:hAnsi="Times New Roman"/>
          <w:sz w:val="18"/>
          <w:szCs w:val="18"/>
          <w:color w:val="auto"/>
        </w:rPr>
        <w:t>” means the date of the first issuance of any shares of the Series P Preferred Stock regardless of the number of transfers of any particular shares of Series P Preferred Stock.</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880" w:top="270" w:right="479" w:bottom="1440" w:gutter="0" w:footer="0" w:header="0"/>
        </w:sectPr>
      </w:pPr>
    </w:p>
    <w:bookmarkStart w:id="16" w:name="page17"/>
    <w:bookmarkEnd w:id="16"/>
    <w:p>
      <w:pPr>
        <w:ind w:right="40" w:firstLine="42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Parity Stock</w:t>
      </w:r>
      <w:r>
        <w:rPr>
          <w:rFonts w:ascii="Times New Roman" w:cs="Times New Roman" w:eastAsia="Times New Roman" w:hAnsi="Times New Roman"/>
          <w:sz w:val="18"/>
          <w:szCs w:val="18"/>
          <w:color w:val="auto"/>
        </w:rPr>
        <w:t>” means (i) any class or series of stock of the Corporation hereafter authorized that ranks equally with the Series P Preferred Stock in the distribution of assets on any liquidation, dissolution or winding up of the Corporation; provided that the authorization of any such Parity Stock must be approved by the affirmative written consent or vote of the Required Holders, and (ii) Series Q Perpetual Preferred Stock of the Corporation, the terms of which are set forth in that certain Certificate of Designation of Preferences, Rights and Limitations of Series Q Perpetual Preferred Stock filed with the Secretary of State of Delaware and effective on May 19, 2026.</w:t>
      </w:r>
    </w:p>
    <w:p>
      <w:pPr>
        <w:spacing w:after="0" w:line="75" w:lineRule="exact"/>
        <w:rPr>
          <w:sz w:val="20"/>
          <w:szCs w:val="20"/>
          <w:color w:val="auto"/>
        </w:rPr>
      </w:pPr>
    </w:p>
    <w:p>
      <w:pPr>
        <w:ind w:right="1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means any class or series of preferred stock issued by the Corporation.</w:t>
      </w:r>
    </w:p>
    <w:p>
      <w:pPr>
        <w:spacing w:after="0" w:line="117" w:lineRule="exact"/>
        <w:rPr>
          <w:sz w:val="20"/>
          <w:szCs w:val="20"/>
          <w:color w:val="auto"/>
        </w:rPr>
      </w:pPr>
    </w:p>
    <w:p>
      <w:pPr>
        <w:ind w:right="7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 Purchase Agreement</w:t>
      </w:r>
      <w:r>
        <w:rPr>
          <w:rFonts w:ascii="Times New Roman" w:cs="Times New Roman" w:eastAsia="Times New Roman" w:hAnsi="Times New Roman"/>
          <w:sz w:val="18"/>
          <w:szCs w:val="18"/>
          <w:color w:val="auto"/>
        </w:rPr>
        <w:t>” means that certain securities purchase agreement, dated June 9, 2026, by and between the Corporation and C/M Capital for the sale and purchase of shares of Series P Preferred Stock.</w:t>
      </w:r>
    </w:p>
    <w:p>
      <w:pPr>
        <w:spacing w:after="0" w:line="54" w:lineRule="exact"/>
        <w:rPr>
          <w:sz w:val="20"/>
          <w:szCs w:val="20"/>
          <w:color w:val="auto"/>
        </w:rPr>
      </w:pPr>
    </w:p>
    <w:p>
      <w:pPr>
        <w:ind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Cap</w:t>
      </w:r>
      <w:r>
        <w:rPr>
          <w:rFonts w:ascii="Times New Roman" w:cs="Times New Roman" w:eastAsia="Times New Roman" w:hAnsi="Times New Roman"/>
          <w:sz w:val="18"/>
          <w:szCs w:val="18"/>
          <w:color w:val="auto"/>
        </w:rPr>
        <w:t>” means the maximum number of the Redemption Shares, Dividend Shares, plus any shares of Common Stock issued upon exchange of the Series P Preferred Stock, in aggregate, that could be issued to Holders without violating The Nasdaq Capital Market rules related to the aggregation of offerings under Nasdaq Listing Rule 5635(d), if applicable. The Redemption Cap shall be appropriately adjusted for any reorganization, recapitalization, non-cash dividend, stock split, reverse stock split or other similar transaction.</w:t>
      </w:r>
    </w:p>
    <w:p>
      <w:pPr>
        <w:spacing w:after="0" w:line="72"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that certain registration rights agreement, dated June 9, 2026, by and between the Corporation and C/M Capital for certain registration rights provided by the Corporation to C/M Capital with respect to certain securities sold by the Corporation under the Preferred Stock Purchase Agreement.</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Holders</w:t>
      </w:r>
      <w:r>
        <w:rPr>
          <w:rFonts w:ascii="Times New Roman" w:cs="Times New Roman" w:eastAsia="Times New Roman" w:hAnsi="Times New Roman"/>
          <w:sz w:val="18"/>
          <w:szCs w:val="18"/>
          <w:color w:val="auto"/>
        </w:rPr>
        <w:t>” means the Holders of at least a majority of the outstanding Series P Preferred Stock.</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17" w:lineRule="exact"/>
        <w:rPr>
          <w:sz w:val="20"/>
          <w:szCs w:val="20"/>
          <w:color w:val="auto"/>
        </w:rPr>
      </w:pPr>
    </w:p>
    <w:p>
      <w:pPr>
        <w:ind w:right="10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Stock</w:t>
      </w:r>
      <w:r>
        <w:rPr>
          <w:rFonts w:ascii="Times New Roman" w:cs="Times New Roman" w:eastAsia="Times New Roman" w:hAnsi="Times New Roman"/>
          <w:sz w:val="18"/>
          <w:szCs w:val="18"/>
          <w:color w:val="auto"/>
        </w:rPr>
        <w:t>” means any class or series of stock of the Corporation hereafter authorized that ranks senior the Series P Preferred Stock in the distribution of assets on any liquidation, dissolution or winding up of the Corporation; provided that the authorization of any Senior Stock must be approved by the affirmative written consent or vote of the Required Holders.</w:t>
      </w:r>
    </w:p>
    <w:p>
      <w:pPr>
        <w:spacing w:after="0" w:line="10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420"/>
          </w:cols>
          <w:pgMar w:left="880" w:top="270" w:right="599" w:bottom="1440" w:gutter="0" w:footer="0" w:header="0"/>
        </w:sectPr>
      </w:pPr>
    </w:p>
    <w:bookmarkStart w:id="17" w:name="page18"/>
    <w:bookmarkEnd w:id="17"/>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Series P Preferred Stock</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Value</w:t>
      </w:r>
      <w:r>
        <w:rPr>
          <w:rFonts w:ascii="Times New Roman" w:cs="Times New Roman" w:eastAsia="Times New Roman" w:hAnsi="Times New Roman"/>
          <w:sz w:val="18"/>
          <w:szCs w:val="18"/>
          <w:color w:val="auto"/>
        </w:rPr>
        <w:t>” means $10,000.</w:t>
      </w:r>
    </w:p>
    <w:p>
      <w:pPr>
        <w:spacing w:after="0" w:line="117" w:lineRule="exact"/>
        <w:rPr>
          <w:sz w:val="20"/>
          <w:szCs w:val="20"/>
          <w:color w:val="auto"/>
        </w:rPr>
      </w:pPr>
    </w:p>
    <w:p>
      <w:pPr>
        <w:ind w:left="4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means such approval as required by the applicable Nasdaq Stock Market Rules by the stockholders of the Corporation with respect to the redemption and/or exchange of shares of Series P Preferred Stock and the issuance of the shares of Common Stock issuable upon redemption and/or exchange of the Series P Preferred Stock.</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means any wholly- or partially-owned subsidiaries of the Corporation that exist now or may be created in the future.</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business.</w:t>
      </w:r>
    </w:p>
    <w:p>
      <w:pPr>
        <w:spacing w:after="0" w:line="117" w:lineRule="exact"/>
        <w:rPr>
          <w:sz w:val="20"/>
          <w:szCs w:val="20"/>
          <w:color w:val="auto"/>
        </w:rPr>
      </w:pPr>
    </w:p>
    <w:p>
      <w:pPr>
        <w:jc w:val="both"/>
        <w:ind w:left="440" w:right="1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Nasdaq Capital Market, the Nasdaq Global Market, the Nasdaq Global Select Market, the New York Stock Exchange, the NYSE American, OTCQB, OTCQX or OTCID (or any successors to any of the foregoing).</w:t>
      </w:r>
    </w:p>
    <w:p>
      <w:pPr>
        <w:spacing w:after="0" w:line="68" w:lineRule="exact"/>
        <w:rPr>
          <w:sz w:val="20"/>
          <w:szCs w:val="20"/>
          <w:color w:val="auto"/>
        </w:rPr>
      </w:pPr>
    </w:p>
    <w:p>
      <w:pPr>
        <w:ind w:left="4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Equiniti Trust Company, LLC, the current transfer agent of the Corporation with a mailing address of 55 Challenger Road, Floor 2, Ridgefield Park, NJ 07660 and an electronic mailing address of helpast@equiniti.com, and any successor transfer agent of the Corporation.</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2. Designation, Amount and Par Value</w:t>
      </w:r>
      <w:r>
        <w:rPr>
          <w:rFonts w:ascii="Times New Roman" w:cs="Times New Roman" w:eastAsia="Times New Roman" w:hAnsi="Times New Roman"/>
          <w:sz w:val="18"/>
          <w:szCs w:val="18"/>
          <w:color w:val="auto"/>
        </w:rPr>
        <w:t>. This series of preferred stock shall be designated as Series P Non-Convertible Preferred Stock (the “</w:t>
      </w:r>
      <w:r>
        <w:rPr>
          <w:rFonts w:ascii="Times New Roman" w:cs="Times New Roman" w:eastAsia="Times New Roman" w:hAnsi="Times New Roman"/>
          <w:sz w:val="18"/>
          <w:szCs w:val="18"/>
          <w:u w:val="single" w:color="auto"/>
          <w:color w:val="auto"/>
        </w:rPr>
        <w:t>Series P Preferred Stock</w:t>
      </w:r>
      <w:r>
        <w:rPr>
          <w:rFonts w:ascii="Times New Roman" w:cs="Times New Roman" w:eastAsia="Times New Roman" w:hAnsi="Times New Roman"/>
          <w:sz w:val="18"/>
          <w:szCs w:val="18"/>
          <w:color w:val="auto"/>
        </w:rPr>
        <w:t>”) and the number of shares so designated shall be Three Hundred (300) (each holder of the Series P Preferred Stock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Each share of Series P Preferred Stock shall have a par value of $0.0001 per share. The Corporation shall have the authority to issue fractional shares of Series P Preferred Stock. The Series P Preferred Stock will initially be issued in book-entry form.</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3. Dividends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 From and after the Original Issue Date, each outstanding share of Series P Preferred Stock shall commence accruing dividends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on the Stated Value at the rate of 8% per year, computed on the basis of a 360-day year and twelve 30-day months. Dividends shall</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be payable in arrears on the first Trading Day of each Fiscal Quarter (each, a “</w:t>
      </w:r>
      <w:r>
        <w:rPr>
          <w:rFonts w:ascii="Times New Roman" w:cs="Times New Roman" w:eastAsia="Times New Roman" w:hAnsi="Times New Roman"/>
          <w:sz w:val="17"/>
          <w:szCs w:val="17"/>
          <w:u w:val="single" w:color="auto"/>
          <w:color w:val="auto"/>
        </w:rPr>
        <w:t>Dividend Date</w:t>
      </w:r>
      <w:r>
        <w:rPr>
          <w:rFonts w:ascii="Times New Roman" w:cs="Times New Roman" w:eastAsia="Times New Roman" w:hAnsi="Times New Roman"/>
          <w:sz w:val="17"/>
          <w:szCs w:val="17"/>
          <w:color w:val="auto"/>
        </w:rPr>
        <w:t>”) with the first Dividend Date being the first Trading</w:t>
      </w:r>
    </w:p>
    <w:p>
      <w:pPr>
        <w:spacing w:after="0" w:line="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Day of the initial Fiscal Quarter commencing after the Original Issue Date. Dividends shall be payable on each Dividend Date, to each record</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Holder on the applicable Dividend Date, in shares of Common Stock (“</w:t>
      </w:r>
      <w:r>
        <w:rPr>
          <w:rFonts w:ascii="Times New Roman" w:cs="Times New Roman" w:eastAsia="Times New Roman" w:hAnsi="Times New Roman"/>
          <w:sz w:val="18"/>
          <w:szCs w:val="18"/>
          <w:u w:val="single" w:color="auto"/>
          <w:color w:val="auto"/>
        </w:rPr>
        <w:t>Dividend Shares</w:t>
      </w:r>
      <w:r>
        <w:rPr>
          <w:rFonts w:ascii="Times New Roman" w:cs="Times New Roman" w:eastAsia="Times New Roman" w:hAnsi="Times New Roman"/>
          <w:sz w:val="18"/>
          <w:szCs w:val="18"/>
          <w:color w:val="auto"/>
        </w:rPr>
        <w:t>”) so long as the Equity Condition is satisfied on the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Dividend Date, or in cash, at the election of the Corporation. The Corporation shall deliver a written notice (each, a “</w:t>
      </w:r>
      <w:r>
        <w:rPr>
          <w:rFonts w:ascii="Times New Roman" w:cs="Times New Roman" w:eastAsia="Times New Roman" w:hAnsi="Times New Roman"/>
          <w:sz w:val="18"/>
          <w:szCs w:val="18"/>
          <w:u w:val="single" w:color="auto"/>
          <w:color w:val="auto"/>
        </w:rPr>
        <w:t>Dividend Election Notice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each Holder on or prior to the tenth</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8" w:name="page19"/>
    <w:bookmarkEnd w:id="18"/>
    <w:p>
      <w:pPr>
        <w:ind w:left="440"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(10th) Trading Day immediately prior to the applicable Dividend Date (each, a “</w:t>
      </w:r>
      <w:r>
        <w:rPr>
          <w:rFonts w:ascii="Times New Roman" w:cs="Times New Roman" w:eastAsia="Times New Roman" w:hAnsi="Times New Roman"/>
          <w:sz w:val="18"/>
          <w:szCs w:val="18"/>
          <w:u w:val="single" w:color="auto"/>
          <w:color w:val="auto"/>
        </w:rPr>
        <w:t>Dividend Notice Due Date</w:t>
      </w:r>
      <w:r>
        <w:rPr>
          <w:rFonts w:ascii="Times New Roman" w:cs="Times New Roman" w:eastAsia="Times New Roman" w:hAnsi="Times New Roman"/>
          <w:sz w:val="18"/>
          <w:szCs w:val="18"/>
          <w:color w:val="auto"/>
        </w:rPr>
        <w:t>”) (the date such notice is delivered to all of the Holders, the “</w:t>
      </w:r>
      <w:r>
        <w:rPr>
          <w:rFonts w:ascii="Times New Roman" w:cs="Times New Roman" w:eastAsia="Times New Roman" w:hAnsi="Times New Roman"/>
          <w:sz w:val="18"/>
          <w:szCs w:val="18"/>
          <w:u w:val="single" w:color="auto"/>
          <w:color w:val="auto"/>
        </w:rPr>
        <w:t>Dividend Notice Date</w:t>
      </w:r>
      <w:r>
        <w:rPr>
          <w:rFonts w:ascii="Times New Roman" w:cs="Times New Roman" w:eastAsia="Times New Roman" w:hAnsi="Times New Roman"/>
          <w:sz w:val="18"/>
          <w:szCs w:val="18"/>
          <w:color w:val="auto"/>
        </w:rPr>
        <w:t>”) which notice either (A) confirms that Dividend to be paid on such Dividend Date shall be paid entirely in Dividend Shares or (B) confirms that the Dividend will be paid in cash or (C) elects to effect a combination of a payment in Dividend Shares and cash and specifies the amount of Dividend, if any, that shall be paid in Dividend Shares. Dividends to be paid on a Dividend Date in Dividend Shares shall be paid in a number of fully paid and nonassessable shares (rounded to the nearest whole share) of Common Stock equal to the quotient obtained by dividing (i) the amount of Dividend payable on such Dividend Date less any cash dividend by (ii) the greater of (x) the Minimum Price on the Dividend Date and (y) $0.546, subject to adjustment for reverse and forward stock splits, stock dividends, stock combinations and other similar transactions of the Common Stock (the “</w:t>
      </w:r>
      <w:r>
        <w:rPr>
          <w:rFonts w:ascii="Times New Roman" w:cs="Times New Roman" w:eastAsia="Times New Roman" w:hAnsi="Times New Roman"/>
          <w:sz w:val="18"/>
          <w:szCs w:val="18"/>
          <w:u w:val="single" w:color="auto"/>
          <w:color w:val="auto"/>
        </w:rPr>
        <w:t>Floor Price</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440" w:firstLine="419"/>
        <w:spacing w:after="0" w:line="273" w:lineRule="auto"/>
        <w:tabs>
          <w:tab w:leader="none" w:pos="111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any Dividend Shares are to be paid on an Dividend Date to a Holder, the Corporation shall, (A) provided that the Corporation’s Transfer Agent is participating in the Depository Trust Company (“</w:t>
      </w:r>
      <w:r>
        <w:rPr>
          <w:rFonts w:ascii="Times New Roman" w:cs="Times New Roman" w:eastAsia="Times New Roman" w:hAnsi="Times New Roman"/>
          <w:sz w:val="17"/>
          <w:szCs w:val="17"/>
          <w:u w:val="single" w:color="auto"/>
          <w:color w:val="auto"/>
        </w:rPr>
        <w:t>DTC</w:t>
      </w:r>
      <w:r>
        <w:rPr>
          <w:rFonts w:ascii="Times New Roman" w:cs="Times New Roman" w:eastAsia="Times New Roman" w:hAnsi="Times New Roman"/>
          <w:sz w:val="17"/>
          <w:szCs w:val="17"/>
          <w:color w:val="auto"/>
        </w:rPr>
        <w:t>”) Fast Automated Securities Transfer Program (“</w:t>
      </w:r>
      <w:r>
        <w:rPr>
          <w:rFonts w:ascii="Times New Roman" w:cs="Times New Roman" w:eastAsia="Times New Roman" w:hAnsi="Times New Roman"/>
          <w:sz w:val="17"/>
          <w:szCs w:val="17"/>
          <w:u w:val="single" w:color="auto"/>
          <w:color w:val="auto"/>
        </w:rPr>
        <w:t>FAST</w:t>
      </w:r>
      <w:r>
        <w:rPr>
          <w:rFonts w:ascii="Times New Roman" w:cs="Times New Roman" w:eastAsia="Times New Roman" w:hAnsi="Times New Roman"/>
          <w:sz w:val="17"/>
          <w:szCs w:val="17"/>
          <w:color w:val="auto"/>
        </w:rPr>
        <w:t>”), credit such aggregate number of Dividend Shares to which such Holder shall be entitled to such Holder’s or its designee’s balance account with DTC through its Deposit/Withdrawal at Custodian system, or (B) if the Transfer Agent is not participating in FAST, issue and deliver on the applicable Dividend Date, to the address set forth in the register maintained by the Corporation for such purpose pursuant to the Preferred Stock Purchase Agreement or to such address as specified by such Holder in writing to the Corporation at least two (2) Trading Days prior to the applicable Dividend Date, a certificate, registered in the name of such Holder or its designee, for the number of Dividend Shares to which such Holder shall be entitled.</w:t>
      </w:r>
    </w:p>
    <w:p>
      <w:pPr>
        <w:spacing w:after="0" w:line="171"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4. Voting Rights</w:t>
      </w:r>
      <w:r>
        <w:rPr>
          <w:rFonts w:ascii="Times New Roman" w:cs="Times New Roman" w:eastAsia="Times New Roman" w:hAnsi="Times New Roman"/>
          <w:sz w:val="18"/>
          <w:szCs w:val="18"/>
          <w:color w:val="auto"/>
        </w:rPr>
        <w:t>. Except as otherwise provided herein or as otherwise required by law, the Series P Preferred Stock shall have no voting rights. For any matter in which the Holders are entitled to vote, such Holders shall be entitled to one vote per one share of Series P Preferred Stock.</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5. Liquidation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54" w:lineRule="auto"/>
        <w:tabs>
          <w:tab w:leader="none" w:pos="110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Preferential Payments to Holders of Series P Preferred Stock</w:t>
      </w:r>
      <w:r>
        <w:rPr>
          <w:rFonts w:ascii="Times New Roman" w:cs="Times New Roman" w:eastAsia="Times New Roman" w:hAnsi="Times New Roman"/>
          <w:sz w:val="18"/>
          <w:szCs w:val="18"/>
          <w:color w:val="auto"/>
        </w:rPr>
        <w:t>. In the event of any voluntary or involuntary liquidation, dissolution or winding up of the Corporation or Deemed Liquidation Event (each, a “</w:t>
      </w:r>
      <w:r>
        <w:rPr>
          <w:rFonts w:ascii="Times New Roman" w:cs="Times New Roman" w:eastAsia="Times New Roman" w:hAnsi="Times New Roman"/>
          <w:sz w:val="18"/>
          <w:szCs w:val="18"/>
          <w:u w:val="single" w:color="auto"/>
          <w:color w:val="auto"/>
        </w:rPr>
        <w:t>Liquidation Event</w:t>
      </w:r>
      <w:r>
        <w:rPr>
          <w:rFonts w:ascii="Times New Roman" w:cs="Times New Roman" w:eastAsia="Times New Roman" w:hAnsi="Times New Roman"/>
          <w:sz w:val="18"/>
          <w:szCs w:val="18"/>
          <w:color w:val="auto"/>
        </w:rPr>
        <w:t>”), each share of Series P Preferred Stock shall be entitled to be paid, out of the assets of the Corporation available for distribution to its stockholders, before any distribution or payment out of the assets of the Corporation may be made to or set aside for the holders of any Junior Stock and subject to (i) any existing or future secured or unsecured indebtedness and other liabilities (including trade payables) of the Corporation, and (ii) the rights of the holders of any class or series of securities ranking on parity with Series P Preferred Stock upon any such Liquidation Event and the rights of the Corporation’s depositors and other creditors, an amount per share of Series P Preferred Stock equal to the Stated Value at such time plus any accrued but unpaid Dividend (as applicable, the “</w:t>
      </w:r>
      <w:r>
        <w:rPr>
          <w:rFonts w:ascii="Times New Roman" w:cs="Times New Roman" w:eastAsia="Times New Roman" w:hAnsi="Times New Roman"/>
          <w:sz w:val="18"/>
          <w:szCs w:val="18"/>
          <w:u w:val="single" w:color="auto"/>
          <w:color w:val="auto"/>
        </w:rPr>
        <w:t>Liquidation Amount</w:t>
      </w:r>
      <w:r>
        <w:rPr>
          <w:rFonts w:ascii="Times New Roman" w:cs="Times New Roman" w:eastAsia="Times New Roman" w:hAnsi="Times New Roman"/>
          <w:sz w:val="18"/>
          <w:szCs w:val="18"/>
          <w:color w:val="auto"/>
        </w:rPr>
        <w:t>”). If upon any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9" w:name="page20"/>
    <w:bookmarkEnd w:id="19"/>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liquidation, dissolution or winding up of the Corporation (other than a Chapter 7 bankruptcy) or Deemed Liquidation Event, the assets of the Corporation available for distribution to its stockholders shall be insufficient to pay the Liquidation Amount, the Holders of shares of Series P Preferred Stock and the holders of all Parity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Following the payment of the Liquidation Amount, if there are any remaining assets of the Corporation available for distribution to its stockholders, the Series P Preferred Stock shall not participate in such distributions. Notwithstanding the foregoing, if in the event of a dissolution or winding up of the Corporation in connection with a Chapter 7 bankruptcy, the assets of the Corporation available for distribution to its stockholders shall be insufficient to pay the Liquidation Amount, the Holders with respect to their shares of Series P Preferred Stock shall be entitled to receive out of such assets the same amount that each share of the Common Stock would receive as if each outstanding share of Series P Preferred Stock were, immediately prior to the applicable record date, fully converted (disregarding solely for such purposes any redemption or exchange limitations hereunder) to shares of Common Stock by dividing (i) Liquidation Amount by (ii) the greater of (x) the Minimum Price as of the record date and (y) the Floor Price, which amounts shall be paid pari passu with all holders of Common Stock.</w:t>
      </w:r>
    </w:p>
    <w:p>
      <w:pPr>
        <w:spacing w:after="0" w:line="79" w:lineRule="exact"/>
        <w:rPr>
          <w:sz w:val="20"/>
          <w:szCs w:val="20"/>
          <w:color w:val="auto"/>
        </w:rPr>
      </w:pPr>
    </w:p>
    <w:p>
      <w:pPr>
        <w:ind w:left="680" w:hanging="26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Deemed Liquidation Events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20" w:hanging="533"/>
        <w:spacing w:after="0"/>
        <w:tabs>
          <w:tab w:leader="none" w:pos="15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xml:space="preserve"> Each of the following events shall be considered a “</w:t>
      </w:r>
      <w:r>
        <w:rPr>
          <w:rFonts w:ascii="Times New Roman" w:cs="Times New Roman" w:eastAsia="Times New Roman" w:hAnsi="Times New Roman"/>
          <w:sz w:val="18"/>
          <w:szCs w:val="18"/>
          <w:u w:val="single" w:color="auto"/>
          <w:color w:val="auto"/>
        </w:rPr>
        <w:t>Deemed Liquidation Event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960" w:right="120" w:hanging="433"/>
        <w:spacing w:after="0" w:line="266" w:lineRule="auto"/>
        <w:tabs>
          <w:tab w:leader="none" w:pos="196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in which the Corporation is a constituent party and in which the stockholders of the Corporation immediately prior to such merger or consolidation do not continue to hold a majority of the voting power of the Corporation or any successor entity following such merger or consolidation; or</w:t>
      </w:r>
    </w:p>
    <w:p>
      <w:pPr>
        <w:spacing w:after="0" w:line="81" w:lineRule="exact"/>
        <w:rPr>
          <w:rFonts w:ascii="Times New Roman" w:cs="Times New Roman" w:eastAsia="Times New Roman" w:hAnsi="Times New Roman"/>
          <w:sz w:val="18"/>
          <w:szCs w:val="18"/>
          <w:color w:val="auto"/>
        </w:rPr>
      </w:pPr>
    </w:p>
    <w:p>
      <w:pPr>
        <w:ind w:left="1960" w:hanging="433"/>
        <w:spacing w:after="0" w:line="256" w:lineRule="auto"/>
        <w:tabs>
          <w:tab w:leader="none" w:pos="196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consolidation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79" w:lineRule="exact"/>
        <w:rPr>
          <w:sz w:val="20"/>
          <w:szCs w:val="20"/>
          <w:color w:val="auto"/>
        </w:rPr>
      </w:pPr>
    </w:p>
    <w:p>
      <w:pPr>
        <w:ind w:left="1540" w:right="160"/>
        <w:spacing w:after="0" w:line="282" w:lineRule="auto"/>
        <w:rPr>
          <w:sz w:val="20"/>
          <w:szCs w:val="20"/>
          <w:color w:val="auto"/>
        </w:rPr>
      </w:pPr>
      <w:r>
        <w:rPr>
          <w:rFonts w:ascii="Times New Roman" w:cs="Times New Roman" w:eastAsia="Times New Roman" w:hAnsi="Times New Roman"/>
          <w:sz w:val="18"/>
          <w:szCs w:val="18"/>
          <w:color w:val="auto"/>
        </w:rPr>
        <w:t>provided, however, that any of the foregoing events shall not constitute a Deemed Liquidation Event if the Corporation is a surviving entity that is listed or quoted for trading on a Trading Market immediately after such event.</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20" w:name="page21"/>
    <w:bookmarkEnd w:id="20"/>
    <w:p>
      <w:pPr>
        <w:ind w:left="440" w:right="80" w:firstLine="419"/>
        <w:spacing w:after="0" w:line="266" w:lineRule="auto"/>
        <w:tabs>
          <w:tab w:leader="none" w:pos="110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Effecting a Deemed Liquidation Event</w:t>
      </w:r>
      <w:r>
        <w:rPr>
          <w:rFonts w:ascii="Times New Roman" w:cs="Times New Roman" w:eastAsia="Times New Roman" w:hAnsi="Times New Roman"/>
          <w:sz w:val="18"/>
          <w:szCs w:val="18"/>
          <w:color w:val="auto"/>
        </w:rPr>
        <w:t>. The Corporation shall not have the power to effect a Deemed Liquidation Event unless the agreement or plan of merger or consolidation for such transaction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xml:space="preserve">) provides that the consideration payable to the Series P Preferred Stock shall be allocated in accordance with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Deemed Paid or Distributed.</w:t>
      </w:r>
      <w:r>
        <w:rPr>
          <w:rFonts w:ascii="Times New Roman" w:cs="Times New Roman" w:eastAsia="Times New Roman" w:hAnsi="Times New Roman"/>
          <w:sz w:val="18"/>
          <w:szCs w:val="18"/>
          <w:color w:val="auto"/>
        </w:rPr>
        <w:t xml:space="preserve"> The amount deemed paid or distributed to the Holders upon any such merger, consolidation, sale, transfer, exclusive license, or other disposition shall be the cash or the value of the property, rights or securities paid or distributed to such Holders by the Corporation or the acquiring person, firm or other entity. The value of such property, right or securities shall be determined in good faith by the Board.</w:t>
      </w:r>
    </w:p>
    <w:p>
      <w:pPr>
        <w:spacing w:after="0" w:line="71" w:lineRule="exact"/>
        <w:rPr>
          <w:rFonts w:ascii="Times New Roman" w:cs="Times New Roman" w:eastAsia="Times New Roman" w:hAnsi="Times New Roman"/>
          <w:sz w:val="18"/>
          <w:szCs w:val="18"/>
          <w:color w:val="auto"/>
        </w:rPr>
      </w:pPr>
    </w:p>
    <w:p>
      <w:pPr>
        <w:ind w:left="440" w:firstLine="419"/>
        <w:spacing w:after="0" w:line="255" w:lineRule="auto"/>
        <w:tabs>
          <w:tab w:leader="none" w:pos="110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 of Escrow and Contingent Consideration</w:t>
      </w:r>
      <w:r>
        <w:rPr>
          <w:rFonts w:ascii="Times New Roman" w:cs="Times New Roman" w:eastAsia="Times New Roman" w:hAnsi="Times New Roman"/>
          <w:sz w:val="18"/>
          <w:szCs w:val="18"/>
          <w:color w:val="auto"/>
        </w:rPr>
        <w:t>. In the event of a Deemed Liquidation Event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if any portion of the consideration payable to the Holders is payable only upon satisfaction of contingencies (the “</w:t>
      </w:r>
      <w:r>
        <w:rPr>
          <w:rFonts w:ascii="Times New Roman" w:cs="Times New Roman" w:eastAsia="Times New Roman" w:hAnsi="Times New Roman"/>
          <w:sz w:val="18"/>
          <w:szCs w:val="18"/>
          <w:u w:val="single" w:color="auto"/>
          <w:color w:val="auto"/>
        </w:rPr>
        <w:t>Additional Consideration</w:t>
      </w:r>
      <w:r>
        <w:rPr>
          <w:rFonts w:ascii="Times New Roman" w:cs="Times New Roman" w:eastAsia="Times New Roman" w:hAnsi="Times New Roman"/>
          <w:sz w:val="18"/>
          <w:szCs w:val="18"/>
          <w:color w:val="auto"/>
        </w:rPr>
        <w:t>”), the merger agreement or other agreement related to such event shall provide that (a) the portion of such consideration that is not Additional Consideration (such portion, the ‘‘</w:t>
      </w:r>
      <w:r>
        <w:rPr>
          <w:rFonts w:ascii="Times New Roman" w:cs="Times New Roman" w:eastAsia="Times New Roman" w:hAnsi="Times New Roman"/>
          <w:sz w:val="18"/>
          <w:szCs w:val="18"/>
          <w:u w:val="single" w:color="auto"/>
          <w:color w:val="auto"/>
        </w:rPr>
        <w:t>Initial Consideration</w:t>
      </w:r>
      <w:r>
        <w:rPr>
          <w:rFonts w:ascii="Times New Roman" w:cs="Times New Roman" w:eastAsia="Times New Roman" w:hAnsi="Times New Roman"/>
          <w:sz w:val="18"/>
          <w:szCs w:val="18"/>
          <w:color w:val="auto"/>
        </w:rPr>
        <w:t xml:space="preserve">”) shall be allocated among the Holders in accordance with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as if the Initial Consideration were the only consideration payable in connection with such Deemed Liquidation Event; and (b) any Additional Consideration which becomes payable to the Holders upon satisfaction of such contingencies shall be allocated among the Holders in accordance with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after taking into account the previous payment of the Initial Consideration as part of the same transaction.</w:t>
      </w:r>
    </w:p>
    <w:p>
      <w:pPr>
        <w:spacing w:after="0" w:line="189" w:lineRule="exact"/>
        <w:rPr>
          <w:sz w:val="20"/>
          <w:szCs w:val="20"/>
          <w:color w:val="auto"/>
        </w:rPr>
      </w:pPr>
    </w:p>
    <w:p>
      <w:pPr>
        <w:ind w:right="82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6. Conversion Rights</w:t>
      </w:r>
      <w:r>
        <w:rPr>
          <w:rFonts w:ascii="Times New Roman" w:cs="Times New Roman" w:eastAsia="Times New Roman" w:hAnsi="Times New Roman"/>
          <w:sz w:val="18"/>
          <w:szCs w:val="18"/>
          <w:color w:val="auto"/>
        </w:rPr>
        <w:t>. Series P Preferred Stock shall not be convertible into Common Stock or any other security of the Corporation, and does not otherwise have any conversion rights.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7. 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00" w:hanging="241"/>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Redemption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0" w:firstLine="948"/>
        <w:spacing w:after="0" w:line="255" w:lineRule="auto"/>
        <w:tabs>
          <w:tab w:leader="none" w:pos="160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Redemption Mechanics</w:t>
      </w:r>
      <w:r>
        <w:rPr>
          <w:rFonts w:ascii="Times New Roman" w:cs="Times New Roman" w:eastAsia="Times New Roman" w:hAnsi="Times New Roman"/>
          <w:sz w:val="18"/>
          <w:szCs w:val="18"/>
          <w:color w:val="auto"/>
        </w:rPr>
        <w:t xml:space="preserve">. No later than two (2) Trading Days following receipt by the Corporation of the net proceeds from any put request made by the Corporation pursuant to the ELOC Agreement, the Corporation shall redeem shares of Series P Preferred Stock outstanding at such time, upon notice given as provided in </w:t>
      </w:r>
      <w:r>
        <w:rPr>
          <w:rFonts w:ascii="Times New Roman" w:cs="Times New Roman" w:eastAsia="Times New Roman" w:hAnsi="Times New Roman"/>
          <w:sz w:val="18"/>
          <w:szCs w:val="18"/>
          <w:u w:val="single" w:color="auto"/>
          <w:color w:val="auto"/>
        </w:rPr>
        <w:t>Section 7(a)(ii)</w:t>
      </w:r>
      <w:r>
        <w:rPr>
          <w:rFonts w:ascii="Times New Roman" w:cs="Times New Roman" w:eastAsia="Times New Roman" w:hAnsi="Times New Roman"/>
          <w:sz w:val="18"/>
          <w:szCs w:val="18"/>
          <w:color w:val="auto"/>
        </w:rPr>
        <w:t xml:space="preserve"> below, at a per share redemption price equal to the Liquidation Amount and an aggregate redemption price equal to not less than 10% of such proceeds, to be paid, at the Corporation’s sole discretion, in cash or in such number of shares of Common Stock (the “</w:t>
      </w:r>
      <w:r>
        <w:rPr>
          <w:rFonts w:ascii="Times New Roman" w:cs="Times New Roman" w:eastAsia="Times New Roman" w:hAnsi="Times New Roman"/>
          <w:sz w:val="18"/>
          <w:szCs w:val="18"/>
          <w:u w:val="single" w:color="auto"/>
          <w:color w:val="auto"/>
        </w:rPr>
        <w:t>Mandatory Redemption Shares</w:t>
      </w:r>
      <w:r>
        <w:rPr>
          <w:rFonts w:ascii="Times New Roman" w:cs="Times New Roman" w:eastAsia="Times New Roman" w:hAnsi="Times New Roman"/>
          <w:sz w:val="18"/>
          <w:szCs w:val="18"/>
          <w:color w:val="auto"/>
        </w:rPr>
        <w:t>”) equal to the quotient obtained by dividing (i) the Liquidation Amount by (ii) the greater of (x) the Minimum Price as of the date that the Mandatory Redemption Notice (as defined below) is delivered by the Corporation to the Holders and (y) the Floor Price (the “</w:t>
      </w:r>
      <w:r>
        <w:rPr>
          <w:rFonts w:ascii="Times New Roman" w:cs="Times New Roman" w:eastAsia="Times New Roman" w:hAnsi="Times New Roman"/>
          <w:sz w:val="18"/>
          <w:szCs w:val="18"/>
          <w:u w:val="single" w:color="auto"/>
          <w:color w:val="auto"/>
        </w:rPr>
        <w:t>Mandatory Redemption Ratio</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21" w:name="page22"/>
    <w:bookmarkEnd w:id="21"/>
    <w:p>
      <w:pPr>
        <w:ind w:right="100" w:firstLine="948"/>
        <w:spacing w:after="0" w:line="266" w:lineRule="auto"/>
        <w:tabs>
          <w:tab w:leader="none" w:pos="121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Mandatory Redemption</w:t>
      </w:r>
      <w:r>
        <w:rPr>
          <w:rFonts w:ascii="Times New Roman" w:cs="Times New Roman" w:eastAsia="Times New Roman" w:hAnsi="Times New Roman"/>
          <w:sz w:val="18"/>
          <w:szCs w:val="18"/>
          <w:color w:val="auto"/>
        </w:rPr>
        <w:t>. The Corporation shall send written notice of its redemption of shares of Series P Preferred Stock (the “</w:t>
      </w:r>
      <w:r>
        <w:rPr>
          <w:rFonts w:ascii="Times New Roman" w:cs="Times New Roman" w:eastAsia="Times New Roman" w:hAnsi="Times New Roman"/>
          <w:sz w:val="18"/>
          <w:szCs w:val="18"/>
          <w:u w:val="single" w:color="auto"/>
          <w:color w:val="auto"/>
        </w:rPr>
        <w:t>Mandatory Redemption Notice</w:t>
      </w:r>
      <w:r>
        <w:rPr>
          <w:rFonts w:ascii="Times New Roman" w:cs="Times New Roman" w:eastAsia="Times New Roman" w:hAnsi="Times New Roman"/>
          <w:sz w:val="18"/>
          <w:szCs w:val="18"/>
          <w:color w:val="auto"/>
        </w:rPr>
        <w:t>”) to each Holder of record of Series P Preferred Stock not less than two (2) Trading Days prior to the Mandatory Redemption Date (as defined below). The Mandatory Redemption Notice shall state:</w:t>
      </w:r>
    </w:p>
    <w:p>
      <w:pPr>
        <w:spacing w:after="0" w:line="67" w:lineRule="exact"/>
        <w:rPr>
          <w:rFonts w:ascii="Times New Roman" w:cs="Times New Roman" w:eastAsia="Times New Roman" w:hAnsi="Times New Roman"/>
          <w:sz w:val="18"/>
          <w:szCs w:val="18"/>
          <w:color w:val="auto"/>
        </w:rPr>
      </w:pPr>
    </w:p>
    <w:p>
      <w:pPr>
        <w:ind w:left="1620" w:hanging="249"/>
        <w:spacing w:after="0"/>
        <w:tabs>
          <w:tab w:leader="none" w:pos="162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Corporation shall redeem such shares (the “</w:t>
      </w:r>
      <w:r>
        <w:rPr>
          <w:rFonts w:ascii="Times New Roman" w:cs="Times New Roman" w:eastAsia="Times New Roman" w:hAnsi="Times New Roman"/>
          <w:sz w:val="18"/>
          <w:szCs w:val="18"/>
          <w:u w:val="single" w:color="auto"/>
          <w:color w:val="auto"/>
        </w:rPr>
        <w:t>Mandatory Redemption Date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680" w:firstLine="391"/>
        <w:spacing w:after="0" w:line="282" w:lineRule="auto"/>
        <w:tabs>
          <w:tab w:leader="none" w:pos="1618"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Series P Preferred Stock held by the Holder that the Corporation intends to redeem on the Mandatory Redemption Date; and</w:t>
      </w:r>
    </w:p>
    <w:p>
      <w:pPr>
        <w:spacing w:after="0" w:line="53" w:lineRule="exact"/>
        <w:rPr>
          <w:rFonts w:ascii="Times New Roman" w:cs="Times New Roman" w:eastAsia="Times New Roman" w:hAnsi="Times New Roman"/>
          <w:sz w:val="18"/>
          <w:szCs w:val="18"/>
          <w:color w:val="auto"/>
        </w:rPr>
      </w:pPr>
    </w:p>
    <w:p>
      <w:pPr>
        <w:ind w:left="1620" w:hanging="249"/>
        <w:spacing w:after="0"/>
        <w:tabs>
          <w:tab w:leader="none" w:pos="162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per share in dollar amounts or the Mandatory Redemption Ratio in shares of Common Stock.</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60" w:firstLine="948"/>
        <w:spacing w:after="0" w:line="274" w:lineRule="auto"/>
        <w:tabs>
          <w:tab w:leader="none" w:pos="116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Optional Redemption Mechanics</w:t>
      </w:r>
      <w:r>
        <w:rPr>
          <w:rFonts w:ascii="Times New Roman" w:cs="Times New Roman" w:eastAsia="Times New Roman" w:hAnsi="Times New Roman"/>
          <w:sz w:val="17"/>
          <w:szCs w:val="17"/>
          <w:color w:val="auto"/>
        </w:rPr>
        <w:t xml:space="preserve">. The Corporation, at the option of its Board of Directors, or any duly authorized committee thereof, may, at any time after the Original Issue Date, redeem, in whole or in part, the shares of Series P Preferred Stock at the time outstanding, upon notice given as provided in </w:t>
      </w:r>
      <w:r>
        <w:rPr>
          <w:rFonts w:ascii="Times New Roman" w:cs="Times New Roman" w:eastAsia="Times New Roman" w:hAnsi="Times New Roman"/>
          <w:sz w:val="17"/>
          <w:szCs w:val="17"/>
          <w:u w:val="single" w:color="auto"/>
          <w:color w:val="auto"/>
        </w:rPr>
        <w:t>Section 7(b)(ii)</w:t>
      </w:r>
      <w:r>
        <w:rPr>
          <w:rFonts w:ascii="Times New Roman" w:cs="Times New Roman" w:eastAsia="Times New Roman" w:hAnsi="Times New Roman"/>
          <w:sz w:val="17"/>
          <w:szCs w:val="17"/>
          <w:color w:val="auto"/>
        </w:rPr>
        <w:t xml:space="preserve"> below, at a redemption price equal to the Liquidation Amount per share, with the redemption price to be paid, at the Corporation’s sole discretion, in cash or in such number of shares of Common Stock (the “</w:t>
      </w:r>
      <w:r>
        <w:rPr>
          <w:rFonts w:ascii="Times New Roman" w:cs="Times New Roman" w:eastAsia="Times New Roman" w:hAnsi="Times New Roman"/>
          <w:sz w:val="17"/>
          <w:szCs w:val="17"/>
          <w:u w:val="single" w:color="auto"/>
          <w:color w:val="auto"/>
        </w:rPr>
        <w:t>Optional Redemption Shares</w:t>
      </w:r>
      <w:r>
        <w:rPr>
          <w:rFonts w:ascii="Times New Roman" w:cs="Times New Roman" w:eastAsia="Times New Roman" w:hAnsi="Times New Roman"/>
          <w:sz w:val="17"/>
          <w:szCs w:val="17"/>
          <w:color w:val="auto"/>
        </w:rPr>
        <w:t>”) equal to the quotient obtained by dividing (i) the Liquidation Amount by (ii) the greater of (x) the Minimum Price as of the date that the Optional Redemption Notice (as defined below) is delivered by the Corporation to the Holders and (y) the Floor Price (the “</w:t>
      </w:r>
      <w:r>
        <w:rPr>
          <w:rFonts w:ascii="Times New Roman" w:cs="Times New Roman" w:eastAsia="Times New Roman" w:hAnsi="Times New Roman"/>
          <w:sz w:val="17"/>
          <w:szCs w:val="17"/>
          <w:u w:val="single" w:color="auto"/>
          <w:color w:val="auto"/>
        </w:rPr>
        <w:t>Optional Redemption Ratio</w:t>
      </w:r>
      <w:r>
        <w:rPr>
          <w:rFonts w:ascii="Times New Roman" w:cs="Times New Roman" w:eastAsia="Times New Roman" w:hAnsi="Times New Roman"/>
          <w:sz w:val="17"/>
          <w:szCs w:val="17"/>
          <w:color w:val="auto"/>
        </w:rPr>
        <w:t>”).</w:t>
      </w:r>
    </w:p>
    <w:p>
      <w:pPr>
        <w:spacing w:after="0" w:line="65" w:lineRule="exact"/>
        <w:rPr>
          <w:sz w:val="20"/>
          <w:szCs w:val="20"/>
          <w:color w:val="auto"/>
        </w:rPr>
      </w:pPr>
    </w:p>
    <w:p>
      <w:pPr>
        <w:jc w:val="both"/>
        <w:ind w:right="100" w:firstLine="948"/>
        <w:spacing w:after="0" w:line="266" w:lineRule="auto"/>
        <w:tabs>
          <w:tab w:leader="none" w:pos="121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Optional Redemption</w:t>
      </w:r>
      <w:r>
        <w:rPr>
          <w:rFonts w:ascii="Times New Roman" w:cs="Times New Roman" w:eastAsia="Times New Roman" w:hAnsi="Times New Roman"/>
          <w:sz w:val="18"/>
          <w:szCs w:val="18"/>
          <w:color w:val="auto"/>
        </w:rPr>
        <w:t>. The Corporation shall send written notice of its election to redeem shares of Series P Preferred Stock (the “</w:t>
      </w:r>
      <w:r>
        <w:rPr>
          <w:rFonts w:ascii="Times New Roman" w:cs="Times New Roman" w:eastAsia="Times New Roman" w:hAnsi="Times New Roman"/>
          <w:sz w:val="18"/>
          <w:szCs w:val="18"/>
          <w:u w:val="single" w:color="auto"/>
          <w:color w:val="auto"/>
        </w:rPr>
        <w:t>Optional Redemption Notice</w:t>
      </w:r>
      <w:r>
        <w:rPr>
          <w:rFonts w:ascii="Times New Roman" w:cs="Times New Roman" w:eastAsia="Times New Roman" w:hAnsi="Times New Roman"/>
          <w:sz w:val="18"/>
          <w:szCs w:val="18"/>
          <w:color w:val="auto"/>
        </w:rPr>
        <w:t>”) to each Holder of record of Series P Preferred Stock not less than fifteen (15) days, and no more than thirty (30) days, prior to the Optional Redemption Date (as defined below). The Optional Redemption Notice shall state:</w:t>
      </w:r>
    </w:p>
    <w:p>
      <w:pPr>
        <w:spacing w:after="0" w:line="67" w:lineRule="exact"/>
        <w:rPr>
          <w:rFonts w:ascii="Times New Roman" w:cs="Times New Roman" w:eastAsia="Times New Roman" w:hAnsi="Times New Roman"/>
          <w:sz w:val="18"/>
          <w:szCs w:val="18"/>
          <w:color w:val="auto"/>
        </w:rPr>
      </w:pPr>
    </w:p>
    <w:p>
      <w:pPr>
        <w:ind w:left="1620" w:hanging="249"/>
        <w:spacing w:after="0"/>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Corporation shall redeem such shares (the “</w:t>
      </w:r>
      <w:r>
        <w:rPr>
          <w:rFonts w:ascii="Times New Roman" w:cs="Times New Roman" w:eastAsia="Times New Roman" w:hAnsi="Times New Roman"/>
          <w:sz w:val="18"/>
          <w:szCs w:val="18"/>
          <w:u w:val="single" w:color="auto"/>
          <w:color w:val="auto"/>
        </w:rPr>
        <w:t>Optional Redemption Date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firstLine="391"/>
        <w:spacing w:after="0" w:line="282" w:lineRule="auto"/>
        <w:tabs>
          <w:tab w:leader="none" w:pos="161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Series P Preferred Stock held by the Holder that the Corporation intends to redeem on the Optional Redemption Date; and</w:t>
      </w:r>
    </w:p>
    <w:p>
      <w:pPr>
        <w:spacing w:after="0" w:line="53" w:lineRule="exact"/>
        <w:rPr>
          <w:rFonts w:ascii="Times New Roman" w:cs="Times New Roman" w:eastAsia="Times New Roman" w:hAnsi="Times New Roman"/>
          <w:sz w:val="18"/>
          <w:szCs w:val="18"/>
          <w:color w:val="auto"/>
        </w:rPr>
      </w:pPr>
    </w:p>
    <w:p>
      <w:pPr>
        <w:ind w:left="1620" w:hanging="249"/>
        <w:spacing w:after="0"/>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per share in dollar amounts or the Optional Redemption Ratio in shares of Common Stock.</w:t>
      </w:r>
    </w:p>
    <w:p>
      <w:pPr>
        <w:spacing w:after="0" w:line="15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00"/>
          </w:cols>
          <w:pgMar w:left="880" w:top="270" w:right="519" w:bottom="1440" w:gutter="0" w:footer="0" w:header="0"/>
        </w:sectPr>
      </w:pPr>
    </w:p>
    <w:bookmarkStart w:id="22" w:name="page23"/>
    <w:bookmarkEnd w:id="22"/>
    <w:p>
      <w:pPr>
        <w:ind w:right="140" w:firstLine="419"/>
        <w:spacing w:after="0" w:line="261" w:lineRule="auto"/>
        <w:tabs>
          <w:tab w:leader="none" w:pos="6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Fractional Shares</w:t>
      </w:r>
      <w:r>
        <w:rPr>
          <w:rFonts w:ascii="Times New Roman" w:cs="Times New Roman" w:eastAsia="Times New Roman" w:hAnsi="Times New Roman"/>
          <w:sz w:val="18"/>
          <w:szCs w:val="18"/>
          <w:color w:val="auto"/>
        </w:rPr>
        <w:t>. No fractional shares or scrip representing fractional shares shall be issued upon redemption of the Series P Preferred Stock. As to any fraction of a Redemption Share which a Holder would otherwise be entitled to receive upon such redemption, the Corporation shall pay a cash adjustment in respect of such final fraction in an amount equal to such fraction multiplied by the closing price of a share of Common Stock as of the Trading Day immediately prior to the applicable Redemption Date.</w:t>
      </w:r>
    </w:p>
    <w:p>
      <w:pPr>
        <w:spacing w:after="0" w:line="71" w:lineRule="exact"/>
        <w:rPr>
          <w:rFonts w:ascii="Times New Roman" w:cs="Times New Roman" w:eastAsia="Times New Roman" w:hAnsi="Times New Roman"/>
          <w:sz w:val="18"/>
          <w:szCs w:val="18"/>
          <w:color w:val="auto"/>
        </w:rPr>
      </w:pPr>
    </w:p>
    <w:p>
      <w:pPr>
        <w:ind w:right="40" w:firstLine="419"/>
        <w:spacing w:after="0" w:line="255" w:lineRule="auto"/>
        <w:tabs>
          <w:tab w:leader="none" w:pos="6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 and Expenses</w:t>
      </w:r>
      <w:r>
        <w:rPr>
          <w:rFonts w:ascii="Times New Roman" w:cs="Times New Roman" w:eastAsia="Times New Roman" w:hAnsi="Times New Roman"/>
          <w:sz w:val="18"/>
          <w:szCs w:val="18"/>
          <w:color w:val="auto"/>
        </w:rPr>
        <w:t>. The issuance of Redemption Shares on redemption of the Series P Preferred Stock shall be made without charge to any Holder for any documentary stamp or similar taxes that may be payable in respect of the issue or delivery of such Redemption Shares, provided that the Corporation shall not be required to pay any tax that may be payable in respect of any transfer involved in the issuance and delivery of any such Redemption Shares upon redemption in a name other than that of the Holders of such shares of Series P Preferred Stock and the Corporation shall not be required to issue or deliver such Redemption Shares unless or until the Person or Persons requesting the issuance thereof shall have paid to the Corporation the amount of such tax or shall have established to the satisfaction of the Corporation that such tax has been paid.</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Section 8. Restrictions on 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2" w:lineRule="auto"/>
        <w:tabs>
          <w:tab w:leader="none" w:pos="66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Beneficial Ownership</w:t>
      </w:r>
      <w:r>
        <w:rPr>
          <w:rFonts w:ascii="Times New Roman" w:cs="Times New Roman" w:eastAsia="Times New Roman" w:hAnsi="Times New Roman"/>
          <w:sz w:val="18"/>
          <w:szCs w:val="18"/>
          <w:color w:val="auto"/>
        </w:rPr>
        <w:t xml:space="preserve">. Notwithstanding anything herein to the contrary, the Corporation shall not issue any Redemption Shares or Dividend Shares to the extent that after such issuance, the Holder who would receive such shares together with the other Attribution Parties collectively would beneficially own in excess of 4.99% (as may be adjusted from time to time in accordance with this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xml:space="preserve">”) of the shares of Common Stock outstanding immediately after giving effect to such issuance. For purposes of the foregoing sentence, the aggregate number of shares of Common Stock beneficially owned by such Holder and the other Attribution Parties shall include the number of shares of Common Stock held by such Holder and all other Attribution Parties plus the number of shares of Common Stock issuable upon redemption and/or exchange of the shares of Series P Preferred Stock, or payment of the accrued and unpaid Dividend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with respect to which the determination of such sentence is being made, but shall exclude shares of Common Stock which would be issuable upon (A) redemption and/or exchange of the remaining, nonredeemed shares of Series P Preferred Stock beneficially owned by such Holder or any of the other Attribution Parties and (B) exercise or conversion of the unexercised or nonconverted portion of any other securities of the Corporation (including, without limitation, any convertible notes, or convertible preferred stock) beneficially owned by such Holder or any other Attribution Party subject to a limitation on conversion or exercise analogous to the limitation contained in this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beneficial ownership shall be calculated in accordance with Section 13(d) of the Exchange Act. For the avoidance of doubt, the calculation of the Maximum Percentage shall take into account the concurrent exercise, conversion and/or redemption, as applicable, of the unexercised or unconverted portion of any other securities of the Corporation beneficially owned by such Holder and/or any other Attribution Party, as applicable. For purposes of determining the number of outstanding shares of Common Stock a Holder may acquire upon the redemption and/or</w:t>
      </w:r>
    </w:p>
    <w:p>
      <w:pPr>
        <w:spacing w:after="0" w:line="12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20"/>
          </w:cols>
          <w:pgMar w:left="880" w:top="270" w:right="499" w:bottom="1440" w:gutter="0" w:footer="0" w:header="0"/>
        </w:sectPr>
      </w:pPr>
    </w:p>
    <w:bookmarkStart w:id="23" w:name="page24"/>
    <w:bookmarkEnd w:id="23"/>
    <w:p>
      <w:pPr>
        <w:ind w:left="4" w:right="2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exchange of such shares of Series P Preferred Stock or the payment of the accrued and unpaid Dividend without exceeding the Maximum Percentage, such Holder may rely on the number of outstanding shares of Common Stock as reflected in (x) the Corporation’s most recent Annual Report on Form 10-K, Quarterly Report on Form 10-Q, Current Report on Form 8-K or other public filing with the SEC, as the case may be, (y) a more recent public announcement by the Corporation or (z) any other written notice by the Corporation or the Transfer Agent, if any, setting forth the number of shares of Common Stock outstanding (the “</w:t>
      </w:r>
      <w:r>
        <w:rPr>
          <w:rFonts w:ascii="Times New Roman" w:cs="Times New Roman" w:eastAsia="Times New Roman" w:hAnsi="Times New Roman"/>
          <w:sz w:val="17"/>
          <w:szCs w:val="17"/>
          <w:u w:val="single" w:color="auto"/>
          <w:color w:val="auto"/>
        </w:rPr>
        <w:t>Reported Outstanding Share Number</w:t>
      </w:r>
      <w:r>
        <w:rPr>
          <w:rFonts w:ascii="Times New Roman" w:cs="Times New Roman" w:eastAsia="Times New Roman" w:hAnsi="Times New Roman"/>
          <w:sz w:val="17"/>
          <w:szCs w:val="17"/>
          <w:color w:val="auto"/>
        </w:rPr>
        <w:t>”). For any reason at any time, upon the written or oral request of any Holder, the Corporation shall within one (1) Business Day confirm orally and in writing or by electronic mail to such Holder the number of shares of Common Stock then outstanding. With the prior written consent of the Corporation, any Holder may from time to time increase or decrease the Maximum Percentage of such Holder to any other percentage not in excess of 9.99% as specified in such notice; provided that (i) any such increase in the Maximum Percentage will not be effective until the sixty-first (61st) day after such notice is delivered to the Corporation and (ii) any such increase or decrease will apply only to such Holder and not to any other Holder. For purposes of clarity, the shares of Common Stock issuable to a Holder pursuant to the terms of this Certificate of Designation in excess of the Maximum Percentage shall not be deemed to be beneficially owned by such Holder for any purpose including for purposes of Section 13(d) or Rule 16a-l(a)(l) of the Exchange Act.</w:t>
      </w:r>
    </w:p>
    <w:p>
      <w:pPr>
        <w:spacing w:after="0" w:line="71" w:lineRule="exact"/>
        <w:rPr>
          <w:sz w:val="20"/>
          <w:szCs w:val="20"/>
          <w:color w:val="auto"/>
        </w:rPr>
      </w:pPr>
    </w:p>
    <w:p>
      <w:pPr>
        <w:ind w:left="4" w:firstLine="419"/>
        <w:spacing w:after="0" w:line="255" w:lineRule="auto"/>
        <w:tabs>
          <w:tab w:leader="none" w:pos="68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issuance of shares of Common Stock to a Holder upon redemption of such shares of Series P Preferred Stock or payment of the accrued and unpaid Dividend results in such Holder and the other Attribution Parties being deemed to beneficially own, in the aggregate, more than the Maximum Percentage of the number of outstanding shares of Common Stock, the Corporation may, in lieu of the shares that would otherwise be issued by which such Holder’s and the other Attribution Parties’ aggregate beneficial ownership exceeds the Maximum Percentage (the “</w:t>
      </w:r>
      <w:r>
        <w:rPr>
          <w:rFonts w:ascii="Times New Roman" w:cs="Times New Roman" w:eastAsia="Times New Roman" w:hAnsi="Times New Roman"/>
          <w:sz w:val="18"/>
          <w:szCs w:val="18"/>
          <w:u w:val="single" w:color="auto"/>
          <w:color w:val="auto"/>
        </w:rPr>
        <w:t>Excess Shares</w:t>
      </w:r>
      <w:r>
        <w:rPr>
          <w:rFonts w:ascii="Times New Roman" w:cs="Times New Roman" w:eastAsia="Times New Roman" w:hAnsi="Times New Roman"/>
          <w:sz w:val="18"/>
          <w:szCs w:val="18"/>
          <w:color w:val="auto"/>
        </w:rPr>
        <w:t xml:space="preserve">”), elect to issue to such Holder, for the same redemption price or a price equal to the accrued and unpaid Dividend (as applicable), a pre-funded warrant to purchase up to the number of the Excess Shares,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Pre-Funded Warrant</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4" w:right="60" w:firstLine="419"/>
        <w:spacing w:after="0" w:line="261" w:lineRule="auto"/>
        <w:tabs>
          <w:tab w:leader="none" w:pos="6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Corporation will not have the right to redeem any shares of Series P Preferred Stock and issue any Redemption Shares or pay any accrued and unpaid Dividend in Dividend Shares to any Holder if the total cumulative number of the Redemption Shares and the Dividend Shares issued to such Holder would exceed the Redemption Cap unless (i) the Stockholder Approval is obtained to issue more than the Redemption Cap, or (ii) the Common Stock is not listed or quoted for trading on any Trading Market.</w:t>
      </w:r>
    </w:p>
    <w:p>
      <w:pPr>
        <w:spacing w:after="0" w:line="180"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u w:val="single" w:color="auto"/>
          <w:color w:val="auto"/>
        </w:rPr>
        <w:t>Section 9. Triggering Events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4" w:hanging="241"/>
        <w:spacing w:after="0"/>
        <w:tabs>
          <w:tab w:leader="none" w:pos="664"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Each of the following events shall constitute a “</w:t>
      </w:r>
      <w:r>
        <w:rPr>
          <w:rFonts w:ascii="Times New Roman" w:cs="Times New Roman" w:eastAsia="Times New Roman" w:hAnsi="Times New Roman"/>
          <w:sz w:val="17"/>
          <w:szCs w:val="17"/>
          <w:u w:val="single" w:color="auto"/>
          <w:color w:val="auto"/>
        </w:rPr>
        <w:t>Triggering Event</w:t>
      </w:r>
      <w:r>
        <w:rPr>
          <w:rFonts w:ascii="Times New Roman" w:cs="Times New Roman" w:eastAsia="Times New Roman" w:hAnsi="Times New Roman"/>
          <w:sz w:val="17"/>
          <w:szCs w:val="17"/>
          <w:color w:val="auto"/>
        </w:rPr>
        <w:t xml:space="preserve">” and each of the events in </w:t>
      </w:r>
      <w:r>
        <w:rPr>
          <w:rFonts w:ascii="Times New Roman" w:cs="Times New Roman" w:eastAsia="Times New Roman" w:hAnsi="Times New Roman"/>
          <w:sz w:val="17"/>
          <w:szCs w:val="17"/>
          <w:u w:val="single" w:color="auto"/>
          <w:color w:val="auto"/>
        </w:rPr>
        <w:t>Sections 9(a)(viii)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9(a)(ix)</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9(a)</w:t>
      </w:r>
    </w:p>
    <w:p>
      <w:pPr>
        <w:spacing w:after="0" w:line="38"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2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shall constitute a “</w:t>
      </w:r>
      <w:r>
        <w:rPr>
          <w:rFonts w:ascii="Times New Roman" w:cs="Times New Roman" w:eastAsia="Times New Roman" w:hAnsi="Times New Roman"/>
          <w:sz w:val="18"/>
          <w:szCs w:val="18"/>
          <w:u w:val="single" w:color="auto"/>
          <w:color w:val="auto"/>
        </w:rPr>
        <w:t>Bankruptcy Triggering Event</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44"/>
          </w:cols>
          <w:pgMar w:left="876" w:top="270" w:right="479" w:bottom="1440" w:gutter="0" w:footer="0" w:header="0"/>
        </w:sectPr>
      </w:pPr>
    </w:p>
    <w:bookmarkStart w:id="24" w:name="page25"/>
    <w:bookmarkEnd w:id="24"/>
    <w:p>
      <w:pPr>
        <w:ind w:left="4" w:right="20" w:firstLine="948"/>
        <w:spacing w:after="0" w:line="261" w:lineRule="auto"/>
        <w:tabs>
          <w:tab w:leader="none" w:pos="117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failure to file the applicable Registration Statement (as defined in the Registration Rights Agreement) with the Commission on or prior to the date that is five (5) days after the applicable Filing Deadline (as defined in the Registration Rights Agreement) or the failure to cause the applicable Registration Statement to be declared effective by the Commission on or prior to the date that is five (5) days after the Commission indicates that it has no further comments to the Registration Statement;</w:t>
      </w:r>
    </w:p>
    <w:p>
      <w:pPr>
        <w:spacing w:after="0" w:line="71" w:lineRule="exact"/>
        <w:rPr>
          <w:rFonts w:ascii="Times New Roman" w:cs="Times New Roman" w:eastAsia="Times New Roman" w:hAnsi="Times New Roman"/>
          <w:sz w:val="18"/>
          <w:szCs w:val="18"/>
          <w:color w:val="auto"/>
        </w:rPr>
      </w:pPr>
    </w:p>
    <w:p>
      <w:pPr>
        <w:ind w:left="4" w:right="20" w:firstLine="948"/>
        <w:spacing w:after="0" w:line="256" w:lineRule="auto"/>
        <w:tabs>
          <w:tab w:leader="none" w:pos="12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applicable Registration Statement is required to be maintained effective pursuant to the terms of the Registration Rights Agreement, the effectiveness of the applicable Registration Statement lapses for any reason (including, without limitation, the issuance of a stop order) or such Registration Statement (or the prospectus contained therein) is unavailable to any holder of Registrable Securities (as defined in the Registration Rights Agreement) for sale of all of such holder’s Registrable Securities in accordance with the terms of the Registration Rights Agreement, and such lapse or unavailability continues for a period of ten (10) consecutive days or for more than an aggregate of twenty (20) days in any 365-day period (excluding days during an Allowable Grace Period (as defined in the Registration Rights Agreement));</w:t>
      </w:r>
    </w:p>
    <w:p>
      <w:pPr>
        <w:spacing w:after="0" w:line="79" w:lineRule="exact"/>
        <w:rPr>
          <w:rFonts w:ascii="Times New Roman" w:cs="Times New Roman" w:eastAsia="Times New Roman" w:hAnsi="Times New Roman"/>
          <w:sz w:val="18"/>
          <w:szCs w:val="18"/>
          <w:color w:val="auto"/>
        </w:rPr>
      </w:pPr>
    </w:p>
    <w:p>
      <w:pPr>
        <w:ind w:left="4" w:right="260" w:firstLine="948"/>
        <w:spacing w:after="0" w:line="282" w:lineRule="auto"/>
        <w:tabs>
          <w:tab w:leader="none" w:pos="127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from trading or the failure of the Common Stock to be listed or quoted for trading (as applicable) on a Trading Market for a period of five (5) consecutive Trading Days;</w:t>
      </w:r>
    </w:p>
    <w:p>
      <w:pPr>
        <w:spacing w:after="0" w:line="53" w:lineRule="exact"/>
        <w:rPr>
          <w:rFonts w:ascii="Times New Roman" w:cs="Times New Roman" w:eastAsia="Times New Roman" w:hAnsi="Times New Roman"/>
          <w:sz w:val="18"/>
          <w:szCs w:val="18"/>
          <w:color w:val="auto"/>
        </w:rPr>
      </w:pPr>
    </w:p>
    <w:p>
      <w:pPr>
        <w:ind w:left="4" w:firstLine="948"/>
        <w:spacing w:after="0" w:line="224" w:lineRule="auto"/>
        <w:tabs>
          <w:tab w:leader="none" w:pos="12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following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consecutive Trading Day that the Corporation fails to reserve shares of Common Stock equal to 150% of the Required Reserve Amount for purposes of effecting the redemption of all of the shares of Series P Preferred Stock then outstanding at the Floor Price;</w:t>
      </w:r>
    </w:p>
    <w:p>
      <w:pPr>
        <w:spacing w:after="0" w:line="90" w:lineRule="exact"/>
        <w:rPr>
          <w:rFonts w:ascii="Times New Roman" w:cs="Times New Roman" w:eastAsia="Times New Roman" w:hAnsi="Times New Roman"/>
          <w:sz w:val="18"/>
          <w:szCs w:val="18"/>
          <w:color w:val="auto"/>
        </w:rPr>
      </w:pPr>
    </w:p>
    <w:p>
      <w:pPr>
        <w:ind w:left="1204" w:hanging="252"/>
        <w:spacing w:after="0"/>
        <w:tabs>
          <w:tab w:leader="none" w:pos="120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fails to declare any Dividend to be paid on the applicable Dividend Date in accordance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20" w:firstLine="948"/>
        <w:spacing w:after="0" w:line="256" w:lineRule="auto"/>
        <w:tabs>
          <w:tab w:leader="none" w:pos="12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failure to pay to any Holder any Dividend on any Dividend Date (whether or not declared by the Board of Directors) or any other amount when and as due under this Certificate of Designation, the Preferred Stock Purchase Agreement or any other Transaction Document (as defined in the Preferred Stock Purchase Agreement) or any other agreement, document, certificate or other instrument delivered in connection with the transactions contemplated hereby and thereby (in each case, whether or not permitted pursuant to the Delaware General Corporation Law), except, in the case of a failure to pay Dividends when and as due, in each such case only if such failure remains uncured for a period of at least two (2) Trading Days;</w:t>
      </w:r>
    </w:p>
    <w:p>
      <w:pPr>
        <w:spacing w:after="0" w:line="79" w:lineRule="exact"/>
        <w:rPr>
          <w:rFonts w:ascii="Times New Roman" w:cs="Times New Roman" w:eastAsia="Times New Roman" w:hAnsi="Times New Roman"/>
          <w:sz w:val="18"/>
          <w:szCs w:val="18"/>
          <w:color w:val="auto"/>
        </w:rPr>
      </w:pPr>
    </w:p>
    <w:p>
      <w:pPr>
        <w:ind w:left="4" w:right="20" w:firstLine="948"/>
        <w:spacing w:after="0" w:line="270" w:lineRule="auto"/>
        <w:tabs>
          <w:tab w:leader="none" w:pos="131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fails to remove any restrictive legend on any certificate or any shares of Common Stock issued to the applicable Holder upon redemption or exercise (as the case may be) of any Securities (as defined in the Preferred Stock Purchase Agreement) acquired by such Holder under the Transaction Documents as and when required by the terms of such Securities or the Preferred Stock Purchase Agreement, as applicable, unless otherwise then prohibited by applicable federal securities laws, and any such failure remains uncured for at least three</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w:t>
      </w:r>
    </w:p>
    <w:p>
      <w:pPr>
        <w:spacing w:after="0" w:line="13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4"/>
          </w:cols>
          <w:pgMar w:left="876" w:top="270" w:right="459" w:bottom="1440" w:gutter="0" w:footer="0" w:header="0"/>
        </w:sectPr>
      </w:pPr>
    </w:p>
    <w:bookmarkStart w:id="25" w:name="page26"/>
    <w:bookmarkEnd w:id="25"/>
    <w:p>
      <w:pPr>
        <w:ind w:right="80" w:firstLine="948"/>
        <w:spacing w:after="0" w:line="266" w:lineRule="auto"/>
        <w:tabs>
          <w:tab w:leader="none" w:pos="13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bankruptcy, insolvency, reorganization or liquidation proceedings or other proceedings for the relief of debtors shall be instituted by or against the Corporation or any Subsidiary and, if instituted against the Corporation or any Subsidiary by a third party, shall not be dismissed within thirty (30) days of their initiation;</w:t>
      </w:r>
    </w:p>
    <w:p>
      <w:pPr>
        <w:spacing w:after="0" w:line="67" w:lineRule="exact"/>
        <w:rPr>
          <w:rFonts w:ascii="Times New Roman" w:cs="Times New Roman" w:eastAsia="Times New Roman" w:hAnsi="Times New Roman"/>
          <w:sz w:val="18"/>
          <w:szCs w:val="18"/>
          <w:color w:val="auto"/>
        </w:rPr>
      </w:pPr>
    </w:p>
    <w:p>
      <w:pPr>
        <w:ind w:right="20" w:firstLine="948"/>
        <w:spacing w:after="0" w:line="253" w:lineRule="auto"/>
        <w:tabs>
          <w:tab w:leader="none" w:pos="12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by the Corporation or any Subsidiary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Corporation or any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Corporation or any Subsidiary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Corporation or any Subsidiary in furtherance of any such action or the taking of any action by any Person to commence a Uniform Commercial Code foreclosure sale or any other similar action under federal, state or foreign law;</w:t>
      </w:r>
    </w:p>
    <w:p>
      <w:pPr>
        <w:spacing w:after="0" w:line="81" w:lineRule="exact"/>
        <w:rPr>
          <w:rFonts w:ascii="Times New Roman" w:cs="Times New Roman" w:eastAsia="Times New Roman" w:hAnsi="Times New Roman"/>
          <w:sz w:val="18"/>
          <w:szCs w:val="18"/>
          <w:color w:val="auto"/>
        </w:rPr>
      </w:pPr>
    </w:p>
    <w:p>
      <w:pPr>
        <w:ind w:firstLine="948"/>
        <w:spacing w:after="0" w:line="272" w:lineRule="auto"/>
        <w:tabs>
          <w:tab w:leader="none" w:pos="1207"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document in the entry by a court of (i) a decree, order, judgment or other similar respect of the Corporation or any Subsidiary of a voluntary or involuntary case or proceeding under any applicable federal, state or foreign bankruptcy, insolvency, reorganization or other similar law or (ii) a decree, order, judgment or other similar document adjudging the Corporation or any Subsidiary as bankrupt or insolvent, or approving as properly filed a petition seeking liquidation, reorganization, arrangement, adjustment or composition of or in respect of the Corporation or any Subsidiary under any applicable federal, state or foreign law or (iii) a decree, order, judgment or other similar document appointing a custodian, receiver, liquidator, assignee, trustee, sequestrator or other similar official of the Corporation or any Subsidiary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thirty (30) consecutive days;</w:t>
      </w:r>
    </w:p>
    <w:p>
      <w:pPr>
        <w:spacing w:after="0" w:line="63" w:lineRule="exact"/>
        <w:rPr>
          <w:rFonts w:ascii="Times New Roman" w:cs="Times New Roman" w:eastAsia="Times New Roman" w:hAnsi="Times New Roman"/>
          <w:sz w:val="17"/>
          <w:szCs w:val="17"/>
          <w:color w:val="auto"/>
        </w:rPr>
      </w:pPr>
    </w:p>
    <w:p>
      <w:pPr>
        <w:ind w:right="60" w:firstLine="948"/>
        <w:spacing w:after="0" w:line="281" w:lineRule="auto"/>
        <w:tabs>
          <w:tab w:leader="none" w:pos="1257"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than as specifically set forth in another clause of this </w:t>
      </w:r>
      <w:r>
        <w:rPr>
          <w:rFonts w:ascii="Times New Roman" w:cs="Times New Roman" w:eastAsia="Times New Roman" w:hAnsi="Times New Roman"/>
          <w:sz w:val="17"/>
          <w:szCs w:val="17"/>
          <w:u w:val="single" w:color="auto"/>
          <w:color w:val="auto"/>
        </w:rPr>
        <w:t>Section 9(a)</w:t>
      </w:r>
      <w:r>
        <w:rPr>
          <w:rFonts w:ascii="Times New Roman" w:cs="Times New Roman" w:eastAsia="Times New Roman" w:hAnsi="Times New Roman"/>
          <w:sz w:val="17"/>
          <w:szCs w:val="17"/>
          <w:color w:val="auto"/>
        </w:rPr>
        <w:t>, the Corporation or any Subsidiary breaches any representation or warranty in any material respect (other than representations or warranties subject to material adverse effect or materiality, which may not be breached in any respect) or any covenant or other term or condition of any Transaction Document, except, in the case of a breach of a covenant or other term or condition that is curable, only if such breach remains uncured for a period of two (2) consecutive Trading Days;</w:t>
      </w:r>
    </w:p>
    <w:p>
      <w:pPr>
        <w:spacing w:after="0" w:line="9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40"/>
          </w:cols>
          <w:pgMar w:left="880" w:top="270" w:right="479" w:bottom="1440" w:gutter="0" w:footer="0" w:header="0"/>
        </w:sectPr>
      </w:pPr>
    </w:p>
    <w:bookmarkStart w:id="26" w:name="page27"/>
    <w:bookmarkEnd w:id="26"/>
    <w:p>
      <w:pPr>
        <w:ind w:right="440" w:firstLine="948"/>
        <w:spacing w:after="0" w:line="282" w:lineRule="auto"/>
        <w:tabs>
          <w:tab w:leader="none" w:pos="130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occurrence of any default under, redemption of or acceleration prior to maturity of at least an aggregate of $100,000 of Indebtedness (as defined in the Purchase Agreement) of the Company or any of its Subsidiaries;</w:t>
      </w:r>
    </w:p>
    <w:p>
      <w:pPr>
        <w:spacing w:after="0" w:line="53" w:lineRule="exact"/>
        <w:rPr>
          <w:rFonts w:ascii="Times New Roman" w:cs="Times New Roman" w:eastAsia="Times New Roman" w:hAnsi="Times New Roman"/>
          <w:sz w:val="18"/>
          <w:szCs w:val="18"/>
          <w:color w:val="auto"/>
        </w:rPr>
      </w:pPr>
    </w:p>
    <w:p>
      <w:pPr>
        <w:ind w:right="100" w:firstLine="948"/>
        <w:spacing w:after="0" w:line="273" w:lineRule="auto"/>
        <w:tabs>
          <w:tab w:leader="none" w:pos="1357"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final judgment or judgments for the payment of money aggregating in excess of $100,000 are rendered against the Company and/or any of its Subsidiaries and which judgments are not, within thirty (30) days after the entry thereof, bonded, discharged, settled or stayed pending appeal, or are not discharged within thirty (30) days after the expiration of such stay;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however, any judgment which is covered by insurance or an indemnity from a credit worthy party shall not be included in calculating the $100,000 amount set forth above so long as the Company provides each Holder a written statement from such insurer or indemnity provider (which written statement shall be reasonably satisfactory to each Holder) to the effect that such judgment is covered by insurance or an indemnity and the Company or such Subsidiary (as the case may be) will receive the proceeds of such insurance or indemnity within thirty (30) days of the issuance of such judgment;</w:t>
      </w:r>
    </w:p>
    <w:p>
      <w:pPr>
        <w:spacing w:after="0" w:line="63" w:lineRule="exact"/>
        <w:rPr>
          <w:rFonts w:ascii="Times New Roman" w:cs="Times New Roman" w:eastAsia="Times New Roman" w:hAnsi="Times New Roman"/>
          <w:sz w:val="17"/>
          <w:szCs w:val="17"/>
          <w:color w:val="auto"/>
        </w:rPr>
      </w:pPr>
    </w:p>
    <w:p>
      <w:pPr>
        <w:ind w:right="140" w:firstLine="948"/>
        <w:spacing w:after="0" w:line="277" w:lineRule="auto"/>
        <w:tabs>
          <w:tab w:leader="none" w:pos="1347"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 of any Transaction Document shall at any time for any reason (other than pursuant to the express terms thereof) cease to be valid and binding on or enforceable against the Company, or the validity or enforceability thereof shall be contested, directly or indirectly, by the Company or any Subsidiary, or a proceeding shall be commenced by the Company or any Subsidiary or any governmental authority having jurisdiction over any of them, seeking to establish the invalidity or unenforceability thereof or the Company or any of its Subsidiaries shall deny in writing that it has any liability or obligation purported to be created under one or more Transaction Documents;</w:t>
      </w:r>
    </w:p>
    <w:p>
      <w:pPr>
        <w:spacing w:after="0" w:line="59" w:lineRule="exact"/>
        <w:rPr>
          <w:rFonts w:ascii="Times New Roman" w:cs="Times New Roman" w:eastAsia="Times New Roman" w:hAnsi="Times New Roman"/>
          <w:sz w:val="17"/>
          <w:szCs w:val="17"/>
          <w:color w:val="auto"/>
        </w:rPr>
      </w:pPr>
    </w:p>
    <w:p>
      <w:pPr>
        <w:ind w:right="740" w:firstLine="948"/>
        <w:spacing w:after="0" w:line="282" w:lineRule="auto"/>
        <w:tabs>
          <w:tab w:leader="none" w:pos="129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transfer by the Company of shares of Common Stock through the Depository Trust Company or another established clearing corporation is no longer available or is subject to a “chill”;</w:t>
      </w:r>
    </w:p>
    <w:p>
      <w:pPr>
        <w:spacing w:after="0" w:line="53" w:lineRule="exact"/>
        <w:rPr>
          <w:rFonts w:ascii="Times New Roman" w:cs="Times New Roman" w:eastAsia="Times New Roman" w:hAnsi="Times New Roman"/>
          <w:sz w:val="18"/>
          <w:szCs w:val="18"/>
          <w:color w:val="auto"/>
        </w:rPr>
      </w:pPr>
    </w:p>
    <w:p>
      <w:pPr>
        <w:ind w:right="260" w:firstLine="948"/>
        <w:spacing w:after="0" w:line="282" w:lineRule="auto"/>
        <w:tabs>
          <w:tab w:leader="none" w:pos="134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false or inaccurate certification (including a false or inaccurate deemed certification) by the Corporation that either (A) the Equity Condition is satisfied, (B) there has been no Equity Condition Failure, or (C) as to whether any Triggering Event has occurred; or</w:t>
      </w:r>
    </w:p>
    <w:p>
      <w:pPr>
        <w:spacing w:after="0" w:line="53" w:lineRule="exact"/>
        <w:rPr>
          <w:rFonts w:ascii="Times New Roman" w:cs="Times New Roman" w:eastAsia="Times New Roman" w:hAnsi="Times New Roman"/>
          <w:sz w:val="18"/>
          <w:szCs w:val="18"/>
          <w:color w:val="auto"/>
        </w:rPr>
      </w:pPr>
    </w:p>
    <w:p>
      <w:pPr>
        <w:ind w:left="1400" w:hanging="452"/>
        <w:spacing w:after="0"/>
        <w:tabs>
          <w:tab w:leader="none" w:pos="1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Series P Preferred Stock remain outstanding on or after the third (3rd) anniversary of the Original Issue Date.</w:t>
      </w:r>
    </w:p>
    <w:p>
      <w:pPr>
        <w:spacing w:after="0" w:line="117" w:lineRule="exact"/>
        <w:rPr>
          <w:sz w:val="20"/>
          <w:szCs w:val="20"/>
          <w:color w:val="auto"/>
        </w:rPr>
      </w:pPr>
    </w:p>
    <w:p>
      <w:pPr>
        <w:ind w:right="180" w:firstLine="952"/>
        <w:spacing w:after="0" w:line="282" w:lineRule="auto"/>
        <w:rPr>
          <w:sz w:val="20"/>
          <w:szCs w:val="20"/>
          <w:color w:val="auto"/>
        </w:rPr>
      </w:pPr>
      <w:r>
        <w:rPr>
          <w:rFonts w:ascii="Times New Roman" w:cs="Times New Roman" w:eastAsia="Times New Roman" w:hAnsi="Times New Roman"/>
          <w:sz w:val="18"/>
          <w:szCs w:val="18"/>
          <w:color w:val="auto"/>
        </w:rPr>
        <w:t>Notwithstanding any provision to the contrary in this Certificate of Designation, any failure by the Corporation to pay a payable or debt owed to a related party of the Corporation shall not be deemed a Triggering Event under this Certificate of Designation.</w:t>
      </w:r>
    </w:p>
    <w:p>
      <w:pPr>
        <w:spacing w:after="0" w:line="54" w:lineRule="exact"/>
        <w:rPr>
          <w:sz w:val="20"/>
          <w:szCs w:val="20"/>
          <w:color w:val="auto"/>
        </w:rPr>
      </w:pPr>
    </w:p>
    <w:p>
      <w:pPr>
        <w:ind w:firstLine="419"/>
        <w:spacing w:after="0" w:line="266" w:lineRule="auto"/>
        <w:tabs>
          <w:tab w:leader="none" w:pos="67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Consequences of Triggering Events</w:t>
      </w:r>
      <w:r>
        <w:rPr>
          <w:rFonts w:ascii="Times New Roman" w:cs="Times New Roman" w:eastAsia="Times New Roman" w:hAnsi="Times New Roman"/>
          <w:sz w:val="18"/>
          <w:szCs w:val="18"/>
          <w:color w:val="auto"/>
        </w:rPr>
        <w:t>. If a Triggering Event has occurred (i) the Required Holders may, by notice to the Corporation (the “</w:t>
      </w:r>
      <w:r>
        <w:rPr>
          <w:rFonts w:ascii="Times New Roman" w:cs="Times New Roman" w:eastAsia="Times New Roman" w:hAnsi="Times New Roman"/>
          <w:sz w:val="18"/>
          <w:szCs w:val="18"/>
          <w:u w:val="single" w:color="auto"/>
          <w:color w:val="auto"/>
        </w:rPr>
        <w:t>Notice of Forced Redemption</w:t>
      </w:r>
      <w:r>
        <w:rPr>
          <w:rFonts w:ascii="Times New Roman" w:cs="Times New Roman" w:eastAsia="Times New Roman" w:hAnsi="Times New Roman"/>
          <w:sz w:val="18"/>
          <w:szCs w:val="18"/>
          <w:color w:val="auto"/>
        </w:rPr>
        <w:t>”), force the Corporation to redeem all of the issued and outstanding shares of Series P Preferred Stock then held by the Holders for a price equal to (1) the Stated Value,</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40"/>
          </w:cols>
          <w:pgMar w:left="880" w:top="270" w:right="479" w:bottom="1440" w:gutter="0" w:footer="0" w:header="0"/>
        </w:sectPr>
      </w:pPr>
    </w:p>
    <w:bookmarkStart w:id="27" w:name="page28"/>
    <w:bookmarkEnd w:id="2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plus (2) any accrued and unpaid Dividend with respect to all such shares of Series P Preferred Stock, plus (3) any and all other amounts (the “</w:t>
      </w:r>
      <w:r>
        <w:rPr>
          <w:rFonts w:ascii="Times New Roman" w:cs="Times New Roman" w:eastAsia="Times New Roman" w:hAnsi="Times New Roman"/>
          <w:sz w:val="18"/>
          <w:szCs w:val="18"/>
          <w:u w:val="single" w:color="auto"/>
          <w:color w:val="auto"/>
        </w:rPr>
        <w:t>Other Amounts</w:t>
      </w:r>
      <w:r>
        <w:rPr>
          <w:rFonts w:ascii="Times New Roman" w:cs="Times New Roman" w:eastAsia="Times New Roman" w:hAnsi="Times New Roman"/>
          <w:sz w:val="18"/>
          <w:szCs w:val="18"/>
          <w:color w:val="auto"/>
        </w:rPr>
        <w:t>”) due and payable to the Holders pursuant to this Certificate of Designation of all such shares of Series P Preferred Stock (collectively, the “</w:t>
      </w:r>
      <w:r>
        <w:rPr>
          <w:rFonts w:ascii="Times New Roman" w:cs="Times New Roman" w:eastAsia="Times New Roman" w:hAnsi="Times New Roman"/>
          <w:sz w:val="18"/>
          <w:szCs w:val="18"/>
          <w:u w:val="single" w:color="auto"/>
          <w:color w:val="auto"/>
        </w:rPr>
        <w:t>Total Amounts</w:t>
      </w:r>
      <w:r>
        <w:rPr>
          <w:rFonts w:ascii="Times New Roman" w:cs="Times New Roman" w:eastAsia="Times New Roman" w:hAnsi="Times New Roman"/>
          <w:sz w:val="18"/>
          <w:szCs w:val="18"/>
          <w:color w:val="auto"/>
        </w:rPr>
        <w:t>”), with such Total Amounts to be paid in such number of shares of Common Stock equal to the quotient obtained by dividing the Total Amounts by the greater of (x) the Minimum Price as of the date that a Notice of Forced Redemption is delivered by the Required Holders to the Corporation and (y) the Floor Price (collectively, the “</w:t>
      </w:r>
      <w:r>
        <w:rPr>
          <w:rFonts w:ascii="Times New Roman" w:cs="Times New Roman" w:eastAsia="Times New Roman" w:hAnsi="Times New Roman"/>
          <w:sz w:val="18"/>
          <w:szCs w:val="18"/>
          <w:u w:val="single" w:color="auto"/>
          <w:color w:val="auto"/>
        </w:rPr>
        <w:t>Forced Redemption Shares</w:t>
      </w:r>
      <w:r>
        <w:rPr>
          <w:rFonts w:ascii="Times New Roman" w:cs="Times New Roman" w:eastAsia="Times New Roman" w:hAnsi="Times New Roman"/>
          <w:sz w:val="18"/>
          <w:szCs w:val="18"/>
          <w:color w:val="auto"/>
        </w:rPr>
        <w:t>”, and together with the Mandatory Redemption Shares and the Optional Redemption Shares, collectively the “</w:t>
      </w:r>
      <w:r>
        <w:rPr>
          <w:rFonts w:ascii="Times New Roman" w:cs="Times New Roman" w:eastAsia="Times New Roman" w:hAnsi="Times New Roman"/>
          <w:sz w:val="18"/>
          <w:szCs w:val="18"/>
          <w:u w:val="single" w:color="auto"/>
          <w:color w:val="auto"/>
        </w:rPr>
        <w:t>Redemption Shares</w:t>
      </w:r>
      <w:r>
        <w:rPr>
          <w:rFonts w:ascii="Times New Roman" w:cs="Times New Roman" w:eastAsia="Times New Roman" w:hAnsi="Times New Roman"/>
          <w:sz w:val="18"/>
          <w:szCs w:val="18"/>
          <w:color w:val="auto"/>
        </w:rPr>
        <w:t>”); (ii) the Holders shall have the right to pursue any other remedies that the Required Holders may have under applicable law and/or in equity; and (iii) the Holders shall have the right to seek and receive injunctive relief from a court prohibiting the Corporation from issuing any of its Common Stock or Preferred Stock to any party unless the all shares of Series P Preferred Stock owned by the Holders are redeemed in full simultaneously with such issuance. Notwithstanding the foregoing, Holder will not have the right to force the Corporation to redeem any shares of Series P Preferred Stock and issue any Forced Redemption Shares if the total cumulative number of the Redemption Shares and Dividend Shares issued to such Holder would exceed the Redemption Cap unless (i) the Stockholder Approval is obtained to issue more than the Redemption Cap, or (ii) the Common Stock is not listed or quoted for trading on a Trading Market.</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Section 10. 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3" w:lineRule="auto"/>
        <w:tabs>
          <w:tab w:leader="none" w:pos="66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and all notices or other communications or deliveries to be provided by the Holders hereunder shall be in writing and delivered personally, by facsimile, or sent by a nationally recognized overnight courier service, addressed to the Corporation, at the address set forth above Attention: Chief Executive Officer, facsimile number (415) 371-8311, with a copy sent to attention of the Corporation’s Chief Financial Officer, facsimile number (415) 371-8311, or such other facsimile number or address as the Corporation may specify for such purposes by notice to the Holders delivered in accordance with this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Any and all notices or other communications or deliveries to be provided by the Corporation hereunder shall be in writing and delivered personally, by facsimile, or sent by a nationally recognized overnight courier service addressed to each record Holder at the facsimile number, or address of such Holder appearing on the books of the Corporation. Any notice or other communication or deliveries hereunder shall be deemed given and effective on the earliest of (i) the time of transmission, if such notice or communication is delivered via facsimile at the facsimile number set forth in this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prior to 5:30 p.m. (New York City time) on any Trading Day, (ii) the next Trading Day after the time of transmission, if such notice or communication is delivered via facsimile at the facsimile number set forth in this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28" w:name="page29"/>
    <w:bookmarkEnd w:id="28"/>
    <w:p>
      <w:pPr>
        <w:ind w:right="60" w:firstLine="419"/>
        <w:spacing w:after="0" w:line="255" w:lineRule="auto"/>
        <w:tabs>
          <w:tab w:leader="none" w:pos="6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w:t>
      </w:r>
      <w:r>
        <w:rPr>
          <w:rFonts w:ascii="Times New Roman" w:cs="Times New Roman" w:eastAsia="Times New Roman" w:hAnsi="Times New Roman"/>
          <w:sz w:val="18"/>
          <w:szCs w:val="18"/>
          <w:color w:val="auto"/>
        </w:rPr>
        <w:t>. All questions concerning the construction, validity, enforcement and interpretation of this Certificate of Designation shall be governed by and construed and enforced in accordance with the internal laws of the State of Delaware, without regard to the principles of conflict of laws thereof. The rule of construction to the effect that any ambiguities are to be resolved against the drafting party shall not be employed in the interpretation of this Certificate of Designation or any amendments thereto. All legal proceedings concerning the interpretation, enforcement and defense of the transactions contemplated by this Certificate of Designation (whether brought against a party hereto or its respective Affiliates, directors, officers, stockholders, employees or agents) shall be commenced in the state and federal courts sitting in the State of Delaware (the “</w:t>
      </w:r>
      <w:r>
        <w:rPr>
          <w:rFonts w:ascii="Times New Roman" w:cs="Times New Roman" w:eastAsia="Times New Roman" w:hAnsi="Times New Roman"/>
          <w:sz w:val="18"/>
          <w:szCs w:val="18"/>
          <w:u w:val="single" w:color="auto"/>
          <w:color w:val="auto"/>
        </w:rPr>
        <w:t>Delaware Courts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Uncertificated Shares</w:t>
      </w:r>
      <w:r>
        <w:rPr>
          <w:rFonts w:ascii="Times New Roman" w:cs="Times New Roman" w:eastAsia="Times New Roman" w:hAnsi="Times New Roman"/>
          <w:sz w:val="18"/>
          <w:szCs w:val="18"/>
          <w:color w:val="auto"/>
        </w:rPr>
        <w:t>. The shares of Series P Preferred Stock shall be uncertificated.</w:t>
      </w:r>
    </w:p>
    <w:p>
      <w:pPr>
        <w:spacing w:after="0" w:line="117" w:lineRule="exact"/>
        <w:rPr>
          <w:rFonts w:ascii="Times New Roman" w:cs="Times New Roman" w:eastAsia="Times New Roman" w:hAnsi="Times New Roman"/>
          <w:sz w:val="18"/>
          <w:szCs w:val="18"/>
          <w:color w:val="auto"/>
        </w:rPr>
      </w:pPr>
    </w:p>
    <w:p>
      <w:pPr>
        <w:ind w:right="60" w:firstLine="419"/>
        <w:spacing w:after="0" w:line="256" w:lineRule="auto"/>
        <w:tabs>
          <w:tab w:leader="none" w:pos="6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on any other occasion. Any waiver by the Corporation or a Holder must be in writing.</w:t>
      </w:r>
    </w:p>
    <w:p>
      <w:pPr>
        <w:spacing w:after="0" w:line="79" w:lineRule="exact"/>
        <w:rPr>
          <w:rFonts w:ascii="Times New Roman" w:cs="Times New Roman" w:eastAsia="Times New Roman" w:hAnsi="Times New Roman"/>
          <w:sz w:val="18"/>
          <w:szCs w:val="18"/>
          <w:color w:val="auto"/>
        </w:rPr>
      </w:pPr>
    </w:p>
    <w:p>
      <w:pPr>
        <w:ind w:right="40" w:firstLine="419"/>
        <w:spacing w:after="0" w:line="258" w:lineRule="auto"/>
        <w:tabs>
          <w:tab w:leader="none" w:pos="66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spacing w:after="0" w:line="75" w:lineRule="exact"/>
        <w:rPr>
          <w:rFonts w:ascii="Times New Roman" w:cs="Times New Roman" w:eastAsia="Times New Roman" w:hAnsi="Times New Roman"/>
          <w:sz w:val="18"/>
          <w:szCs w:val="18"/>
          <w:color w:val="auto"/>
        </w:rPr>
      </w:pPr>
    </w:p>
    <w:p>
      <w:pPr>
        <w:ind w:right="180" w:firstLine="419"/>
        <w:spacing w:after="0" w:line="282" w:lineRule="auto"/>
        <w:tabs>
          <w:tab w:leader="none" w:pos="64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Next Trading Day</w:t>
      </w:r>
      <w:r>
        <w:rPr>
          <w:rFonts w:ascii="Times New Roman" w:cs="Times New Roman" w:eastAsia="Times New Roman" w:hAnsi="Times New Roman"/>
          <w:sz w:val="18"/>
          <w:szCs w:val="18"/>
          <w:color w:val="auto"/>
        </w:rPr>
        <w:t>. Whenever any payment or other obligation hereunder shall be due on a day other than a Trading Day, such payment shall be made or other obligation performed on the next succeeding Trading Day.</w:t>
      </w:r>
    </w:p>
    <w:p>
      <w:pPr>
        <w:spacing w:after="0" w:line="53"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Timely Delivery of Shares</w:t>
      </w:r>
      <w:r>
        <w:rPr>
          <w:rFonts w:ascii="Times New Roman" w:cs="Times New Roman" w:eastAsia="Times New Roman" w:hAnsi="Times New Roman"/>
          <w:sz w:val="18"/>
          <w:szCs w:val="18"/>
          <w:color w:val="auto"/>
        </w:rPr>
        <w:t>. Notwithstanding anything herein to the contrary, the Corporation shall not be liable for the failure to timely deliver any shares of capital stock required to be delivered by the Corporation on a timely basis as set forth in this Certificate of Designation, if such failure is caused by a Holder or its broker, including but not limited to, any failure caused by incorrect or incomplete information provided by the Holder to the Corporation or failure of the Holder or Holder’s broker to properly initiate the DWAC.</w:t>
      </w:r>
    </w:p>
    <w:p>
      <w:pPr>
        <w:spacing w:after="0" w:line="71" w:lineRule="exact"/>
        <w:rPr>
          <w:rFonts w:ascii="Times New Roman" w:cs="Times New Roman" w:eastAsia="Times New Roman" w:hAnsi="Times New Roman"/>
          <w:sz w:val="18"/>
          <w:szCs w:val="18"/>
          <w:color w:val="auto"/>
        </w:rPr>
      </w:pPr>
    </w:p>
    <w:p>
      <w:pPr>
        <w:ind w:right="260" w:firstLine="419"/>
        <w:spacing w:after="0" w:line="282" w:lineRule="auto"/>
        <w:tabs>
          <w:tab w:leader="none" w:pos="6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herein are for convenience only, do not constitute a part of this Certificate of Designation and shall not be deemed to limit or affect any of the provisions hereof.</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0"/>
          </w:cols>
          <w:pgMar w:left="880" w:top="270" w:right="459" w:bottom="1440" w:gutter="0" w:footer="0" w:header="0"/>
        </w:sectPr>
      </w:pPr>
    </w:p>
    <w:bookmarkStart w:id="29" w:name="page30"/>
    <w:bookmarkEnd w:id="29"/>
    <w:p>
      <w:pPr>
        <w:ind w:right="260" w:firstLine="419"/>
        <w:spacing w:after="0" w:line="258" w:lineRule="auto"/>
        <w:tabs>
          <w:tab w:leader="none" w:pos="63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Status of Redeemed or Exchanged Preferred Stock</w:t>
      </w:r>
      <w:r>
        <w:rPr>
          <w:rFonts w:ascii="Times New Roman" w:cs="Times New Roman" w:eastAsia="Times New Roman" w:hAnsi="Times New Roman"/>
          <w:sz w:val="18"/>
          <w:szCs w:val="18"/>
          <w:color w:val="auto"/>
        </w:rPr>
        <w:t>. Any shares of Series P Preferred Stock that are redeemed, exchanged or otherwise acquired by the Corporation or any of its subsidiaries in accordance with the terms of this Certificate of Designation shall be automatically and immediately cancelled and retired and shall not be reissued, sold or transfer as shares of Series P Preferred Stock, and shall resume the status of authorized but unissued shares of preferred stock and the Corporation may thereafter take such appropriate action (without the need for stockholder action) as may be necessary to reduce the authorized number of shares of Series P Preferred Stock accordingly.</w:t>
      </w:r>
    </w:p>
    <w:p>
      <w:pPr>
        <w:spacing w:after="0" w:line="75" w:lineRule="exact"/>
        <w:rPr>
          <w:rFonts w:ascii="Times New Roman" w:cs="Times New Roman" w:eastAsia="Times New Roman" w:hAnsi="Times New Roman"/>
          <w:sz w:val="18"/>
          <w:szCs w:val="18"/>
          <w:color w:val="auto"/>
        </w:rPr>
      </w:pPr>
    </w:p>
    <w:p>
      <w:pPr>
        <w:ind w:firstLine="419"/>
        <w:spacing w:after="0" w:line="254" w:lineRule="auto"/>
        <w:tabs>
          <w:tab w:leader="none" w:pos="63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In addition to any other rights provided by law, except where the vote or written consent of the holders of a greater number of shares is required by law or by another provision of the Certificate of Incorporation, without first obtaining the affirmative written consent or vote of the Required Holders, the Corporation shall not: (a) amend or repeal any provision of, or add any provision to, its Certificate of Incorporation or bylaws, or file any certificate of designations or articles of amendment of any series of shares of preferred stock, if such action would adversely alter or change in any respect the preferences, rights, privileges or powers, or restrictions provided for the benefit of the Series P Preferred Stock hereunder, regardless of whether any such action shall be by means of amendment to the Certificate of Incorporation or by merger, consolidation or otherwise; (b) increase or decrease the authorized number of shares of Series P Preferred Stock; (c) create or authorize (by reclassification or otherwise) any new class or series of Senior Preferred Stock or Parity Stock; or (d) issue any shares of Series P Preferred Stock other than as contemplated hereby or pursuant to the Preferred Stock Purchase Agreement.</w:t>
      </w:r>
    </w:p>
    <w:p>
      <w:pPr>
        <w:spacing w:after="0" w:line="80" w:lineRule="exact"/>
        <w:rPr>
          <w:rFonts w:ascii="Times New Roman" w:cs="Times New Roman" w:eastAsia="Times New Roman" w:hAnsi="Times New Roman"/>
          <w:sz w:val="18"/>
          <w:szCs w:val="18"/>
          <w:color w:val="auto"/>
        </w:rPr>
      </w:pPr>
    </w:p>
    <w:p>
      <w:pPr>
        <w:ind w:right="480" w:firstLine="419"/>
        <w:spacing w:after="0" w:line="282" w:lineRule="auto"/>
        <w:tabs>
          <w:tab w:leader="none" w:pos="6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Notwithstanding anything herein to the contrary, in no event may shares of Common Stock be issued to any Holder that would cause such Holder’s beneficial ownership to exceed the Maximum Percentage.</w:t>
      </w:r>
    </w:p>
    <w:p>
      <w:pPr>
        <w:spacing w:after="0" w:line="16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80"/>
          </w:cols>
          <w:pgMar w:left="880" w:top="270" w:right="439" w:bottom="1440" w:gutter="0" w:footer="0" w:header="0"/>
        </w:sectPr>
      </w:pPr>
    </w:p>
    <w:bookmarkStart w:id="30" w:name="page31"/>
    <w:bookmarkEnd w:id="30"/>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RESOLVED, FURTHER, that the chief executive officer, the president, the chief financial officer or any vice-president, and the secretary or any assistant secretary, of the Corporation be and they hereby are authorized and directed to prepare and file this Certificate of Designation of Preferences, Rights and Limitations in accordance with the foregoing resolution and the provisions of Delaware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the undersigned have executed this Certificate of Designation this 8th day of June, 2026.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 Lisa A. Conte</w:t>
            </w:r>
          </w:p>
        </w:tc>
        <w:tc>
          <w:tcPr>
            <w:tcW w:w="1200" w:type="dxa"/>
            <w:vAlign w:val="bottom"/>
          </w:tcPr>
          <w:p>
            <w:pPr>
              <w:spacing w:after="0"/>
              <w:rPr>
                <w:sz w:val="20"/>
                <w:szCs w:val="20"/>
                <w:color w:val="auto"/>
              </w:rPr>
            </w:pPr>
          </w:p>
        </w:tc>
        <w:tc>
          <w:tcPr>
            <w:tcW w:w="5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 Carol R. Lizak</w:t>
            </w:r>
          </w:p>
        </w:tc>
      </w:tr>
      <w:tr>
        <w:trPr>
          <w:trHeight w:val="205"/>
        </w:trPr>
        <w:tc>
          <w:tcPr>
            <w:tcW w:w="43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Lisa A. Conte</w:t>
            </w:r>
          </w:p>
        </w:tc>
        <w:tc>
          <w:tcPr>
            <w:tcW w:w="12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Carol R. Lizak</w:t>
            </w: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 and President</w:t>
            </w:r>
          </w:p>
        </w:tc>
        <w:tc>
          <w:tcPr>
            <w:tcW w:w="1200" w:type="dxa"/>
            <w:vAlign w:val="bottom"/>
          </w:tcPr>
          <w:p>
            <w:pPr>
              <w:spacing w:after="0"/>
              <w:rPr>
                <w:sz w:val="20"/>
                <w:szCs w:val="20"/>
                <w:color w:val="auto"/>
              </w:rPr>
            </w:pPr>
          </w:p>
        </w:tc>
        <w:tc>
          <w:tcPr>
            <w:tcW w:w="5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364"/>
        </w:trPr>
        <w:tc>
          <w:tcPr>
            <w:tcW w:w="4300" w:type="dxa"/>
            <w:vAlign w:val="bottom"/>
          </w:tcPr>
          <w:p>
            <w:pPr>
              <w:spacing w:after="0"/>
              <w:rPr>
                <w:sz w:val="24"/>
                <w:szCs w:val="24"/>
                <w:color w:val="auto"/>
              </w:rPr>
            </w:pPr>
          </w:p>
        </w:tc>
        <w:tc>
          <w:tcPr>
            <w:tcW w:w="1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52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PRE-FUNDED WARRANT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019"/>
          </w:cols>
          <w:pgMar w:left="1440" w:top="266" w:right="1440" w:bottom="1440" w:gutter="0" w:footer="0" w:header="0"/>
        </w:sectPr>
      </w:pPr>
    </w:p>
    <w:bookmarkStart w:id="32" w:name="page33"/>
    <w:bookmarkEnd w:id="32"/>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p>
        </w:tc>
        <w:tc>
          <w:tcPr>
            <w:tcW w:w="7780" w:type="dxa"/>
            <w:vAlign w:val="bottom"/>
            <w:gridSpan w:val="4"/>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9"/>
              </w:rPr>
              <w:t>PRE-FUNDED COMMON STOCK PURCHASE WARRANT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2340" w:type="dxa"/>
            <w:vAlign w:val="bottom"/>
          </w:tcPr>
          <w:p>
            <w:pPr>
              <w:spacing w:after="0"/>
              <w:rPr>
                <w:sz w:val="24"/>
                <w:szCs w:val="24"/>
                <w:color w:val="auto"/>
              </w:rPr>
            </w:pPr>
          </w:p>
        </w:tc>
        <w:tc>
          <w:tcPr>
            <w:tcW w:w="7780" w:type="dxa"/>
            <w:vAlign w:val="bottom"/>
            <w:gridSpan w:val="4"/>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9"/>
              </w:rPr>
              <w:t>JAGUAR HEALTH, INC.</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Warrant Shares:       </w:t>
            </w:r>
          </w:p>
        </w:tc>
        <w:tc>
          <w:tcPr>
            <w:tcW w:w="4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w w:val="94"/>
              </w:rPr>
              <w:t>Initial Exercise Date: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5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7"/>
              </w:rPr>
              <w:t>, 2026</w:t>
            </w:r>
          </w:p>
        </w:tc>
      </w:tr>
      <w:tr>
        <w:trPr>
          <w:trHeight w:val="20"/>
        </w:trPr>
        <w:tc>
          <w:tcPr>
            <w:tcW w:w="68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10120" w:type="dxa"/>
            <w:vAlign w:val="bottom"/>
            <w:gridSpan w:val="5"/>
          </w:tcPr>
          <w:p>
            <w:pPr>
              <w:ind w:left="1420"/>
              <w:spacing w:after="0"/>
              <w:rPr>
                <w:sz w:val="20"/>
                <w:szCs w:val="20"/>
                <w:color w:val="auto"/>
              </w:rPr>
            </w:pPr>
            <w:r>
              <w:rPr>
                <w:rFonts w:ascii="Times New Roman" w:cs="Times New Roman" w:eastAsia="Times New Roman" w:hAnsi="Times New Roman"/>
                <w:sz w:val="18"/>
                <w:szCs w:val="18"/>
                <w:color w:val="auto"/>
                <w:w w:val="98"/>
              </w:rPr>
              <w:t>THIS PRE-FUNDED COMMON STOCK PURCHASE WARRANT (the “Warrant”) certifies that, for value received,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23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5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until this Warrant is exercised in full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Jaguar Health,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shares (as subject to adjustment hereunder,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Common Stock. The purchase price of one share of Common Stock under this Warrant shall be equal to the Exercise Price, as defined in Section 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4004310</wp:posOffset>
            </wp:positionH>
            <wp:positionV relativeFrom="paragraph">
              <wp:posOffset>-308610</wp:posOffset>
            </wp:positionV>
            <wp:extent cx="3429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63"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Preferred Stock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_____, 2026, among the Company and the purchasers signatory thereto.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36"/>
        <w:spacing w:after="0" w:line="252" w:lineRule="auto"/>
        <w:tabs>
          <w:tab w:leader="none" w:pos="62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(i)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and (ii)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 and any assignee, by acceptance of this</w:t>
      </w:r>
    </w:p>
    <w:p>
      <w:pPr>
        <w:spacing w:after="0" w:line="1" w:lineRule="exact"/>
        <w:rPr>
          <w:rFonts w:ascii="Times New Roman" w:cs="Times New Roman" w:eastAsia="Times New Roman" w:hAnsi="Times New Roman"/>
          <w:sz w:val="18"/>
          <w:szCs w:val="18"/>
          <w:color w:val="auto"/>
        </w:rPr>
      </w:pPr>
    </w:p>
    <w:p>
      <w:pPr>
        <w:ind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66" w:right="439" w:bottom="1440" w:gutter="0" w:footer="0" w:header="0"/>
        </w:sectPr>
      </w:pPr>
    </w:p>
    <w:bookmarkStart w:id="33" w:name="page34"/>
    <w:bookmarkEnd w:id="33"/>
    <w:p>
      <w:pPr>
        <w:ind w:right="60" w:firstLine="436"/>
        <w:spacing w:after="0" w:line="277" w:lineRule="auto"/>
        <w:tabs>
          <w:tab w:leader="none" w:pos="63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Price</w:t>
      </w:r>
      <w:r>
        <w:rPr>
          <w:rFonts w:ascii="Times New Roman" w:cs="Times New Roman" w:eastAsia="Times New Roman" w:hAnsi="Times New Roman"/>
          <w:sz w:val="17"/>
          <w:szCs w:val="17"/>
          <w:color w:val="auto"/>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share of Common Stock under this Warrant shall be $0.0001, subject to adjustment hereunder (the “</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w:t>
      </w:r>
    </w:p>
    <w:p>
      <w:pPr>
        <w:spacing w:after="0" w:line="59" w:lineRule="exact"/>
        <w:rPr>
          <w:rFonts w:ascii="Times New Roman" w:cs="Times New Roman" w:eastAsia="Times New Roman" w:hAnsi="Times New Roman"/>
          <w:sz w:val="17"/>
          <w:szCs w:val="17"/>
          <w:color w:val="auto"/>
        </w:rPr>
      </w:pPr>
    </w:p>
    <w:p>
      <w:pPr>
        <w:ind w:right="100" w:firstLine="436"/>
        <w:spacing w:after="0" w:line="282" w:lineRule="auto"/>
        <w:tabs>
          <w:tab w:leader="none" w:pos="62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as applicable: (i) the VWAP on the Trading Day immediately preceding the date of the applicable Notice of Exercise if such Notice of Exercise is</w:t>
      </w:r>
    </w:p>
    <w:p>
      <w:pPr>
        <w:spacing w:after="0" w:line="27" w:lineRule="exact"/>
        <w:rPr>
          <w:sz w:val="20"/>
          <w:szCs w:val="20"/>
          <w:color w:val="auto"/>
        </w:rPr>
      </w:pPr>
    </w:p>
    <w:p>
      <w:pPr>
        <w:ind w:left="420" w:firstLine="8"/>
        <w:spacing w:after="0" w:line="251" w:lineRule="auto"/>
        <w:tabs>
          <w:tab w:leader="none" w:pos="6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the VWAP on the Trading Day immediately preceding the date of the applicable Notice of Exercise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 the Exercise Price of this Warrant, as adjusted hereunder; and</w:t>
      </w:r>
    </w:p>
    <w:p>
      <w:pPr>
        <w:spacing w:after="0" w:line="131" w:lineRule="exact"/>
        <w:rPr>
          <w:sz w:val="20"/>
          <w:szCs w:val="20"/>
          <w:color w:val="auto"/>
        </w:rPr>
      </w:pPr>
    </w:p>
    <w:p>
      <w:pPr>
        <w:ind w:left="420" w:right="220" w:hanging="431"/>
        <w:spacing w:after="0" w:line="282" w:lineRule="auto"/>
        <w:rPr>
          <w:sz w:val="20"/>
          <w:szCs w:val="20"/>
          <w:color w:val="auto"/>
        </w:rPr>
      </w:pPr>
      <w:r>
        <w:rPr>
          <w:rFonts w:ascii="Times New Roman" w:cs="Times New Roman" w:eastAsia="Times New Roman" w:hAnsi="Times New Roman"/>
          <w:sz w:val="18"/>
          <w:szCs w:val="18"/>
          <w:color w:val="auto"/>
        </w:rPr>
        <w:t>(X) =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OTCQB Venture Market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the OTCQX Best Market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or the OTCID Basic Market (“</w:t>
      </w:r>
      <w:r>
        <w:rPr>
          <w:rFonts w:ascii="Times New Roman" w:cs="Times New Roman" w:eastAsia="Times New Roman" w:hAnsi="Times New Roman"/>
          <w:sz w:val="18"/>
          <w:szCs w:val="18"/>
          <w:u w:val="single" w:color="auto"/>
          <w:color w:val="auto"/>
        </w:rPr>
        <w:t>OTCID</w:t>
      </w:r>
      <w:r>
        <w:rPr>
          <w:rFonts w:ascii="Times New Roman" w:cs="Times New Roman" w:eastAsia="Times New Roman" w:hAnsi="Times New Roman"/>
          <w:sz w:val="18"/>
          <w:szCs w:val="18"/>
          <w:color w:val="auto"/>
        </w:rPr>
        <w:t>”) is not a Trading Market, the volume weighted average price of the Common Stock for such date (or the nearest preceding date) on OTCQB, OTCQX or OTCID as applicable, (c) if the Common Stock is not then listed or quoted for trading on OTCQB, OTCQX or OTCID and if prices for the Common Stock are then reported on the Pink Open Market (“</w:t>
      </w:r>
      <w:r>
        <w:rPr>
          <w:rFonts w:ascii="Times New Roman" w:cs="Times New Roman" w:eastAsia="Times New Roman" w:hAnsi="Times New Roman"/>
          <w:sz w:val="18"/>
          <w:szCs w:val="18"/>
          <w:u w:val="single" w:color="auto"/>
          <w:color w:val="auto"/>
        </w:rPr>
        <w:t>Pink Market</w:t>
      </w:r>
      <w:r>
        <w:rPr>
          <w:rFonts w:ascii="Times New Roman" w:cs="Times New Roman" w:eastAsia="Times New Roman" w:hAnsi="Times New Roman"/>
          <w:sz w:val="18"/>
          <w:szCs w:val="18"/>
          <w:color w:val="auto"/>
        </w:rPr>
        <w: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86" w:lineRule="exact"/>
        <w:rPr>
          <w:sz w:val="20"/>
          <w:szCs w:val="20"/>
          <w:color w:val="auto"/>
        </w:rPr>
      </w:pPr>
    </w:p>
    <w:p>
      <w:pPr>
        <w:ind w:left="640" w:hanging="204"/>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4" w:name="page35"/>
    <w:bookmarkEnd w:id="3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spacing w:after="0" w:line="89" w:lineRule="exact"/>
        <w:rPr>
          <w:sz w:val="20"/>
          <w:szCs w:val="20"/>
          <w:color w:val="auto"/>
        </w:rPr>
      </w:pPr>
    </w:p>
    <w:p>
      <w:pPr>
        <w:ind w:right="40" w:firstLine="436"/>
        <w:spacing w:after="0" w:line="261" w:lineRule="auto"/>
        <w:tabs>
          <w:tab w:leader="none" w:pos="63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71" w:lineRule="exact"/>
        <w:rPr>
          <w:rFonts w:ascii="Times New Roman" w:cs="Times New Roman" w:eastAsia="Times New Roman" w:hAnsi="Times New Roman"/>
          <w:sz w:val="18"/>
          <w:szCs w:val="18"/>
          <w:color w:val="auto"/>
        </w:rPr>
      </w:pPr>
    </w:p>
    <w:p>
      <w:pPr>
        <w:ind w:right="20" w:firstLine="436"/>
        <w:spacing w:after="0" w:line="282"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53" w:lineRule="exact"/>
        <w:rPr>
          <w:rFonts w:ascii="Times New Roman" w:cs="Times New Roman" w:eastAsia="Times New Roman" w:hAnsi="Times New Roman"/>
          <w:sz w:val="18"/>
          <w:szCs w:val="18"/>
          <w:color w:val="auto"/>
        </w:rPr>
      </w:pPr>
    </w:p>
    <w:p>
      <w:pPr>
        <w:ind w:firstLine="436"/>
        <w:spacing w:after="0" w:line="252" w:lineRule="auto"/>
        <w:tabs>
          <w:tab w:leader="none" w:pos="6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reasonable and customary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Warrant Shares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reasonably satisfactory to the Company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Warrant Shares upon exercise of the Warrant as required pursuant to the terms hereof.</w:t>
      </w:r>
    </w:p>
    <w:p>
      <w:pPr>
        <w:spacing w:after="0" w:line="83" w:lineRule="exact"/>
        <w:rPr>
          <w:rFonts w:ascii="Times New Roman" w:cs="Times New Roman" w:eastAsia="Times New Roman" w:hAnsi="Times New Roman"/>
          <w:sz w:val="18"/>
          <w:szCs w:val="18"/>
          <w:color w:val="auto"/>
        </w:rPr>
      </w:pPr>
    </w:p>
    <w:p>
      <w:pPr>
        <w:jc w:val="both"/>
        <w:ind w:right="140" w:firstLine="436"/>
        <w:spacing w:after="0" w:line="261" w:lineRule="auto"/>
        <w:tabs>
          <w:tab w:leader="none" w:pos="60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35" w:name="page36"/>
    <w:bookmarkEnd w:id="35"/>
    <w:p>
      <w:pPr>
        <w:ind w:left="-20" w:right="80" w:firstLine="436"/>
        <w:spacing w:after="0" w:line="254" w:lineRule="auto"/>
        <w:tabs>
          <w:tab w:leader="none" w:pos="65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91" w:lineRule="exact"/>
        <w:rPr>
          <w:rFonts w:ascii="Times New Roman" w:cs="Times New Roman" w:eastAsia="Times New Roman" w:hAnsi="Times New Roman"/>
          <w:sz w:val="18"/>
          <w:szCs w:val="18"/>
          <w:color w:val="auto"/>
        </w:rPr>
      </w:pPr>
    </w:p>
    <w:p>
      <w:pPr>
        <w:ind w:left="-20" w:right="440" w:firstLine="436"/>
        <w:spacing w:after="0" w:line="282" w:lineRule="auto"/>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2" w:lineRule="exact"/>
        <w:rPr>
          <w:sz w:val="20"/>
          <w:szCs w:val="20"/>
          <w:color w:val="auto"/>
        </w:rPr>
      </w:pPr>
    </w:p>
    <w:p>
      <w:pPr>
        <w:ind w:left="-20" w:firstLine="436"/>
        <w:spacing w:after="0" w:line="266" w:lineRule="auto"/>
        <w:tabs>
          <w:tab w:leader="none" w:pos="60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in noncompliance with the Beneficial Ownership Limitation.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be 4.99% (or, upon election by a Holder prior to the issuance of any Warrants, 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60" w:top="270" w:right="459" w:bottom="1440" w:gutter="0" w:footer="0" w:header="0"/>
        </w:sectPr>
      </w:pPr>
    </w:p>
    <w:bookmarkStart w:id="36" w:name="page37"/>
    <w:bookmarkEnd w:id="36"/>
    <w:p>
      <w:pPr>
        <w:ind w:left="4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52" w:lineRule="auto"/>
        <w:tabs>
          <w:tab w:leader="none" w:pos="6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 For the purpose of clarification, the Exercise Price of this Warrant will not be adjusted in the event that the Company or any Subsidiary thereof, as applicable, sells or grants any option to purchase, or sells or grants any right to reprice, or otherwise dispose or issue (or announces any offer, sale, grant or any option to purchase or other disposition) any Common Stock or Common Stock Equivalents, at any effective price per share less than the Exercise Price then in effect.</w:t>
      </w:r>
    </w:p>
    <w:p>
      <w:pPr>
        <w:spacing w:after="0" w:line="89" w:lineRule="exact"/>
        <w:rPr>
          <w:rFonts w:ascii="Times New Roman" w:cs="Times New Roman" w:eastAsia="Times New Roman" w:hAnsi="Times New Roman"/>
          <w:sz w:val="18"/>
          <w:szCs w:val="18"/>
          <w:color w:val="auto"/>
        </w:rPr>
      </w:pPr>
    </w:p>
    <w:p>
      <w:pPr>
        <w:ind w:firstLine="436"/>
        <w:spacing w:after="0" w:line="253"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while the Warrant is outstanding,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provided, that such Purchase Right shall terminate on, and shall not be held in abeyance for any period subsequent to the Termination Date.</w:t>
      </w:r>
    </w:p>
    <w:p>
      <w:pPr>
        <w:spacing w:after="0" w:line="81" w:lineRule="exact"/>
        <w:rPr>
          <w:rFonts w:ascii="Times New Roman" w:cs="Times New Roman" w:eastAsia="Times New Roman" w:hAnsi="Times New Roman"/>
          <w:sz w:val="18"/>
          <w:szCs w:val="18"/>
          <w:color w:val="auto"/>
        </w:rPr>
      </w:pPr>
    </w:p>
    <w:p>
      <w:pPr>
        <w:ind w:firstLine="436"/>
        <w:spacing w:after="0" w:line="252" w:lineRule="auto"/>
        <w:tabs>
          <w:tab w:leader="none" w:pos="6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7" w:name="page38"/>
    <w:bookmarkEnd w:id="37"/>
    <w:p>
      <w:pPr>
        <w:ind w:left="-20" w:firstLine="436"/>
        <w:spacing w:after="0" w:line="251" w:lineRule="auto"/>
        <w:tabs>
          <w:tab w:leader="none" w:pos="6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after giving effect to such transaction, the stockholders of the Company immediately prior to such transaction own less than 50% of the aggregate voting power of the Company or the successor entity of such transaction,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or more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after giving effect to such transaction, the stockholders of the Company immediately prior to such transaction own less than 50% of the aggregate voting power of the Company or the successor entity of such transaction,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or more than 50% of the voting power of the common equity of the Company (not including any shares of Common Stock held by the other Person or Persons making or party to, or associated or affiliated with the other Person or Persons making or party to, at the time of entering into such stock or share purchase agreement or other business combination)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60" w:top="270" w:right="479" w:bottom="1440" w:gutter="0" w:footer="0" w:header="0"/>
        </w:sectPr>
      </w:pPr>
    </w:p>
    <w:bookmarkStart w:id="38" w:name="page39"/>
    <w:bookmarkEnd w:id="38"/>
    <w:p>
      <w:pPr>
        <w:ind w:left="4"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3(e) regardless of (i) whether the Company has sufficient authorized shares of Common Stock for the issuance of Warrant Shares and/or (ii) whether a Fundamental Transaction occurs prior to the Initial Exercise Date.</w:t>
      </w:r>
    </w:p>
    <w:p>
      <w:pPr>
        <w:spacing w:after="0" w:line="81" w:lineRule="exact"/>
        <w:rPr>
          <w:sz w:val="20"/>
          <w:szCs w:val="20"/>
          <w:color w:val="auto"/>
        </w:rPr>
      </w:pPr>
    </w:p>
    <w:p>
      <w:pPr>
        <w:ind w:left="4" w:right="60" w:firstLine="436"/>
        <w:spacing w:after="0" w:line="266" w:lineRule="auto"/>
        <w:tabs>
          <w:tab w:leader="none" w:pos="62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of Common Stock,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67" w:lineRule="exact"/>
        <w:rPr>
          <w:rFonts w:ascii="Times New Roman" w:cs="Times New Roman" w:eastAsia="Times New Roman" w:hAnsi="Times New Roman"/>
          <w:sz w:val="18"/>
          <w:szCs w:val="18"/>
          <w:color w:val="auto"/>
        </w:rPr>
      </w:pPr>
    </w:p>
    <w:p>
      <w:pPr>
        <w:ind w:left="604" w:hanging="164"/>
        <w:spacing w:after="0"/>
        <w:tabs>
          <w:tab w:leader="none" w:pos="60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68" w:lineRule="exact"/>
        <w:rPr>
          <w:sz w:val="20"/>
          <w:szCs w:val="20"/>
          <w:color w:val="auto"/>
        </w:rPr>
      </w:pPr>
    </w:p>
    <w:p>
      <w:pPr>
        <w:jc w:val="both"/>
        <w:ind w:left="4" w:right="120" w:firstLine="436"/>
        <w:spacing w:after="0" w:line="272" w:lineRule="auto"/>
        <w:tabs>
          <w:tab w:leader="none" w:pos="634"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Allow Exercise by Holder</w:t>
      </w:r>
      <w:r>
        <w:rPr>
          <w:rFonts w:ascii="Times New Roman" w:cs="Times New Roman" w:eastAsia="Times New Roman" w:hAnsi="Times New Roman"/>
          <w:sz w:val="17"/>
          <w:szCs w:val="17"/>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9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any stockholders of the Company shall be required in connection with any Fundamental Transaction,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83" w:lineRule="exact"/>
        <w:rPr>
          <w:sz w:val="20"/>
          <w:szCs w:val="20"/>
          <w:color w:val="auto"/>
        </w:rPr>
      </w:pPr>
    </w:p>
    <w:p>
      <w:pPr>
        <w:ind w:left="4" w:right="120" w:firstLine="436"/>
        <w:spacing w:after="0" w:line="266" w:lineRule="auto"/>
        <w:tabs>
          <w:tab w:leader="none" w:pos="63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436"/>
        <w:spacing w:after="0" w:line="254" w:lineRule="auto"/>
        <w:tabs>
          <w:tab w:leader="none" w:pos="62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70" w:right="459" w:bottom="1440" w:gutter="0" w:footer="0" w:header="0"/>
        </w:sectPr>
      </w:pPr>
    </w:p>
    <w:bookmarkStart w:id="39" w:name="page40"/>
    <w:bookmarkEnd w:id="39"/>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68" w:lineRule="exact"/>
        <w:rPr>
          <w:sz w:val="20"/>
          <w:szCs w:val="20"/>
          <w:color w:val="auto"/>
        </w:rPr>
      </w:pPr>
    </w:p>
    <w:p>
      <w:pPr>
        <w:ind w:right="40" w:firstLine="436"/>
        <w:spacing w:after="0" w:line="256"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as of the initial issuance date of this Warrant and shall be identical with this Warrant except as to the number of Warrant Shares issuable pursuant thereto.</w:t>
      </w:r>
    </w:p>
    <w:p>
      <w:pPr>
        <w:spacing w:after="0" w:line="79" w:lineRule="exact"/>
        <w:rPr>
          <w:rFonts w:ascii="Times New Roman" w:cs="Times New Roman" w:eastAsia="Times New Roman" w:hAnsi="Times New Roman"/>
          <w:sz w:val="18"/>
          <w:szCs w:val="18"/>
          <w:color w:val="auto"/>
        </w:rPr>
      </w:pPr>
    </w:p>
    <w:p>
      <w:pPr>
        <w:ind w:right="300" w:firstLine="436"/>
        <w:spacing w:after="0" w:line="261" w:lineRule="auto"/>
        <w:tabs>
          <w:tab w:leader="none" w:pos="62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36"/>
        <w:spacing w:after="0" w:line="261" w:lineRule="auto"/>
        <w:tabs>
          <w:tab w:leader="none" w:pos="62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71" w:lineRule="exact"/>
        <w:rPr>
          <w:rFonts w:ascii="Times New Roman" w:cs="Times New Roman" w:eastAsia="Times New Roman" w:hAnsi="Times New Roman"/>
          <w:sz w:val="18"/>
          <w:szCs w:val="18"/>
          <w:color w:val="auto"/>
        </w:rPr>
      </w:pPr>
    </w:p>
    <w:p>
      <w:pPr>
        <w:ind w:right="180" w:firstLine="436"/>
        <w:spacing w:after="0" w:line="258" w:lineRule="auto"/>
        <w:tabs>
          <w:tab w:leader="none" w:pos="6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75" w:lineRule="exact"/>
        <w:rPr>
          <w:rFonts w:ascii="Times New Roman" w:cs="Times New Roman" w:eastAsia="Times New Roman" w:hAnsi="Times New Roman"/>
          <w:sz w:val="18"/>
          <w:szCs w:val="18"/>
          <w:color w:val="auto"/>
        </w:rPr>
      </w:pPr>
    </w:p>
    <w:p>
      <w:pPr>
        <w:ind w:right="360" w:firstLine="436"/>
        <w:spacing w:after="0" w:line="282" w:lineRule="auto"/>
        <w:tabs>
          <w:tab w:leader="none" w:pos="62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53" w:lineRule="exact"/>
        <w:rPr>
          <w:rFonts w:ascii="Times New Roman" w:cs="Times New Roman" w:eastAsia="Times New Roman" w:hAnsi="Times New Roman"/>
          <w:sz w:val="18"/>
          <w:szCs w:val="18"/>
          <w:color w:val="auto"/>
        </w:rPr>
      </w:pPr>
    </w:p>
    <w:p>
      <w:pPr>
        <w:ind w:left="640" w:hanging="204"/>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71" w:lineRule="auto"/>
        <w:rPr>
          <w:sz w:val="20"/>
          <w:szCs w:val="20"/>
          <w:color w:val="auto"/>
        </w:rPr>
      </w:pPr>
      <w:r>
        <w:rPr>
          <w:rFonts w:ascii="Times New Roman" w:cs="Times New Roman" w:eastAsia="Times New Roman" w:hAnsi="Times New Roman"/>
          <w:sz w:val="17"/>
          <w:szCs w:val="17"/>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7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40" w:name="page41"/>
    <w:bookmarkEnd w:id="40"/>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76"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68" w:lineRule="exact"/>
        <w:rPr>
          <w:sz w:val="20"/>
          <w:szCs w:val="20"/>
          <w:color w:val="auto"/>
        </w:rPr>
      </w:pPr>
    </w:p>
    <w:p>
      <w:pPr>
        <w:ind w:right="60" w:firstLine="436"/>
        <w:spacing w:after="0" w:line="252" w:lineRule="auto"/>
        <w:tabs>
          <w:tab w:leader="none" w:pos="62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88" w:lineRule="exact"/>
        <w:rPr>
          <w:rFonts w:ascii="Times New Roman" w:cs="Times New Roman" w:eastAsia="Times New Roman" w:hAnsi="Times New Roman"/>
          <w:sz w:val="18"/>
          <w:szCs w:val="18"/>
          <w:color w:val="auto"/>
        </w:rPr>
      </w:pPr>
    </w:p>
    <w:p>
      <w:pPr>
        <w:ind w:right="380" w:firstLine="436"/>
        <w:spacing w:after="0" w:line="282" w:lineRule="auto"/>
        <w:tabs>
          <w:tab w:leader="none" w:pos="60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53" w:lineRule="exact"/>
        <w:rPr>
          <w:rFonts w:ascii="Times New Roman" w:cs="Times New Roman" w:eastAsia="Times New Roman" w:hAnsi="Times New Roman"/>
          <w:sz w:val="18"/>
          <w:szCs w:val="18"/>
          <w:color w:val="auto"/>
        </w:rPr>
      </w:pPr>
    </w:p>
    <w:p>
      <w:pPr>
        <w:ind w:right="20" w:firstLine="436"/>
        <w:spacing w:after="0" w:line="256" w:lineRule="auto"/>
        <w:tabs>
          <w:tab w:leader="none" w:pos="6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79" w:lineRule="exact"/>
        <w:rPr>
          <w:rFonts w:ascii="Times New Roman" w:cs="Times New Roman" w:eastAsia="Times New Roman" w:hAnsi="Times New Roman"/>
          <w:sz w:val="18"/>
          <w:szCs w:val="18"/>
          <w:color w:val="auto"/>
        </w:rPr>
      </w:pPr>
    </w:p>
    <w:p>
      <w:pPr>
        <w:ind w:right="40" w:firstLine="436"/>
        <w:spacing w:after="0" w:line="253" w:lineRule="auto"/>
        <w:tabs>
          <w:tab w:leader="none" w:pos="6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200 Pine Street, Suite 400, San Francisco, CA 94104, Attention:             , email address:             ,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-1403350</wp:posOffset>
            </wp:positionV>
            <wp:extent cx="6858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5000625</wp:posOffset>
            </wp:positionH>
            <wp:positionV relativeFrom="paragraph">
              <wp:posOffset>-1403350</wp:posOffset>
            </wp:positionV>
            <wp:extent cx="6858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70" w:right="439" w:bottom="1440" w:gutter="0" w:footer="0" w:header="0"/>
        </w:sectPr>
      </w:pPr>
    </w:p>
    <w:bookmarkStart w:id="41" w:name="page42"/>
    <w:bookmarkEnd w:id="41"/>
    <w:p>
      <w:pPr>
        <w:ind w:firstLine="436"/>
        <w:spacing w:after="0" w:line="266" w:lineRule="auto"/>
        <w:tabs>
          <w:tab w:leader="none" w:pos="5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67" w:lineRule="exact"/>
        <w:rPr>
          <w:rFonts w:ascii="Times New Roman" w:cs="Times New Roman" w:eastAsia="Times New Roman" w:hAnsi="Times New Roman"/>
          <w:sz w:val="18"/>
          <w:szCs w:val="18"/>
          <w:color w:val="auto"/>
        </w:rPr>
      </w:pPr>
    </w:p>
    <w:p>
      <w:pPr>
        <w:ind w:right="120" w:firstLine="436"/>
        <w:spacing w:after="0" w:line="261" w:lineRule="auto"/>
        <w:tabs>
          <w:tab w:leader="none" w:pos="5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71" w:lineRule="exact"/>
        <w:rPr>
          <w:rFonts w:ascii="Times New Roman" w:cs="Times New Roman" w:eastAsia="Times New Roman" w:hAnsi="Times New Roman"/>
          <w:sz w:val="18"/>
          <w:szCs w:val="18"/>
          <w:color w:val="auto"/>
        </w:rPr>
      </w:pPr>
    </w:p>
    <w:p>
      <w:pPr>
        <w:ind w:firstLine="436"/>
        <w:spacing w:after="0" w:line="261" w:lineRule="auto"/>
        <w:tabs>
          <w:tab w:leader="none" w:pos="6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71" w:lineRule="exact"/>
        <w:rPr>
          <w:rFonts w:ascii="Times New Roman" w:cs="Times New Roman" w:eastAsia="Times New Roman" w:hAnsi="Times New Roman"/>
          <w:sz w:val="18"/>
          <w:szCs w:val="18"/>
          <w:color w:val="auto"/>
        </w:rPr>
      </w:pPr>
    </w:p>
    <w:p>
      <w:pPr>
        <w:ind w:right="160" w:firstLine="436"/>
        <w:spacing w:after="0" w:line="282" w:lineRule="auto"/>
        <w:tabs>
          <w:tab w:leader="none" w:pos="5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or the beneficial owner of this Warrant, on the other hand.</w:t>
      </w:r>
    </w:p>
    <w:p>
      <w:pPr>
        <w:spacing w:after="0" w:line="53" w:lineRule="exact"/>
        <w:rPr>
          <w:rFonts w:ascii="Times New Roman" w:cs="Times New Roman" w:eastAsia="Times New Roman" w:hAnsi="Times New Roman"/>
          <w:sz w:val="18"/>
          <w:szCs w:val="18"/>
          <w:color w:val="auto"/>
        </w:rPr>
      </w:pPr>
    </w:p>
    <w:p>
      <w:pPr>
        <w:ind w:right="420" w:firstLine="436"/>
        <w:spacing w:after="0" w:line="266" w:lineRule="auto"/>
        <w:tabs>
          <w:tab w:leader="none" w:pos="6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67" w:lineRule="exact"/>
        <w:rPr>
          <w:rFonts w:ascii="Times New Roman" w:cs="Times New Roman" w:eastAsia="Times New Roman" w:hAnsi="Times New Roman"/>
          <w:sz w:val="18"/>
          <w:szCs w:val="18"/>
          <w:color w:val="auto"/>
        </w:rPr>
      </w:pPr>
    </w:p>
    <w:p>
      <w:pPr>
        <w:ind w:left="640" w:hanging="204"/>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60"/>
          </w:cols>
          <w:pgMar w:left="440" w:top="270" w:right="499" w:bottom="1440" w:gutter="0" w:footer="0" w:header="0"/>
        </w:sectPr>
      </w:pPr>
    </w:p>
    <w:bookmarkStart w:id="42" w:name="page43"/>
    <w:bookmarkEnd w:id="42"/>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JAGUAR HEALTH,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70" w:right="479" w:bottom="1440" w:gutter="0" w:footer="0" w:header="0"/>
        </w:sectPr>
      </w:pPr>
    </w:p>
    <w:bookmarkStart w:id="43" w:name="page44"/>
    <w:bookmarkEnd w:id="43"/>
    <w:tbl>
      <w:tblPr>
        <w:tblLayout w:type="fixed"/>
        <w:tblInd w:w="4"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6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NOTICE OF EXERCISE</w:t>
            </w:r>
          </w:p>
        </w:tc>
      </w:tr>
      <w:tr>
        <w:trPr>
          <w:trHeight w:val="459"/>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102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JAGUAR HEALTH, INC.</w:t>
            </w:r>
          </w:p>
        </w:tc>
      </w:tr>
      <w:tr>
        <w:trPr>
          <w:trHeight w:val="391"/>
        </w:trPr>
        <w:tc>
          <w:tcPr>
            <w:tcW w:w="640" w:type="dxa"/>
            <w:vAlign w:val="bottom"/>
          </w:tcPr>
          <w:p>
            <w:pPr>
              <w:spacing w:after="0"/>
              <w:rPr>
                <w:sz w:val="24"/>
                <w:szCs w:val="24"/>
                <w:color w:val="auto"/>
              </w:rPr>
            </w:pPr>
          </w:p>
        </w:tc>
        <w:tc>
          <w:tcPr>
            <w:tcW w:w="102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(1) The undersigned hereby elects to purchase                Warrant Shares of the Company pursuant to the terms of the attached Warrant</w:t>
            </w:r>
          </w:p>
        </w:tc>
      </w:tr>
      <w:tr>
        <w:trPr>
          <w:trHeight w:val="20"/>
        </w:trPr>
        <w:tc>
          <w:tcPr>
            <w:tcW w:w="6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(only if exercised in full), and tenders herewith payment of the exercise price in full, together with all applicable transfer taxes, if any.</w:t>
      </w:r>
    </w:p>
    <w:p>
      <w:pPr>
        <w:spacing w:after="0" w:line="225" w:lineRule="exact"/>
        <w:rPr>
          <w:sz w:val="20"/>
          <w:szCs w:val="20"/>
          <w:color w:val="auto"/>
        </w:rPr>
      </w:pPr>
    </w:p>
    <w:p>
      <w:pPr>
        <w:ind w:left="1244" w:hanging="253"/>
        <w:spacing w:after="0"/>
        <w:tabs>
          <w:tab w:leader="none" w:pos="124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04" w:hanging="204"/>
        <w:spacing w:after="0"/>
        <w:tabs>
          <w:tab w:leader="none" w:pos="204" w:val="left"/>
        </w:tabs>
        <w:numPr>
          <w:ilvl w:val="0"/>
          <w:numId w:val="4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ind w:left="4" w:hanging="4"/>
        <w:spacing w:after="0" w:line="266" w:lineRule="auto"/>
        <w:tabs>
          <w:tab w:leader="none" w:pos="211" w:val="left"/>
        </w:tabs>
        <w:numPr>
          <w:ilvl w:val="0"/>
          <w:numId w:val="4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244" w:hanging="253"/>
        <w:spacing w:after="0"/>
        <w:tabs>
          <w:tab w:leader="none" w:pos="124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342900</wp:posOffset>
            </wp:positionV>
            <wp:extent cx="6995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4"/>
          </w:cols>
          <w:pgMar w:left="436" w:top="266" w:right="479" w:bottom="1440" w:gutter="0" w:footer="0" w:header="0"/>
        </w:sectPr>
      </w:pPr>
    </w:p>
    <w:bookmarkStart w:id="44" w:name="page45"/>
    <w:bookmarkEnd w:id="44"/>
    <w:p>
      <w:pPr>
        <w:ind w:left="4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 assign the foregoing Warrant, execute this form and supply required information. Do not use this form to purchase shares.)</w:t>
      </w:r>
    </w:p>
    <w:p>
      <w:pPr>
        <w:spacing w:after="0" w:line="2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5175250</wp:posOffset>
            </wp:positionH>
            <wp:positionV relativeFrom="paragraph">
              <wp:posOffset>17145</wp:posOffset>
            </wp:positionV>
            <wp:extent cx="18173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6"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7"/>
          <w:szCs w:val="17"/>
          <w:color w:val="auto"/>
        </w:rPr>
        <w:t>(Please Print)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5175250</wp:posOffset>
            </wp:positionH>
            <wp:positionV relativeFrom="paragraph">
              <wp:posOffset>17145</wp:posOffset>
            </wp:positionV>
            <wp:extent cx="18173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6"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7"/>
          <w:szCs w:val="17"/>
          <w:color w:val="auto"/>
        </w:rPr>
        <w:t>(Please Print)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5175250</wp:posOffset>
            </wp:positionH>
            <wp:positionV relativeFrom="paragraph">
              <wp:posOffset>17145</wp:posOffset>
            </wp:positionV>
            <wp:extent cx="18173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5175250</wp:posOffset>
            </wp:positionH>
            <wp:positionV relativeFrom="paragraph">
              <wp:posOffset>17145</wp:posOffset>
            </wp:positionV>
            <wp:extent cx="18173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-7620</wp:posOffset>
            </wp:positionV>
            <wp:extent cx="13995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019"/>
          </w:cols>
          <w:pgMar w:left="440" w:top="266" w:right="1440" w:bottom="1440" w:gutter="0" w:footer="0" w:header="0"/>
        </w:sectPr>
      </w:pPr>
    </w:p>
    <w:bookmarkStart w:id="45" w:name="page46"/>
    <w:bookmarkEnd w:id="45"/>
    <w:p>
      <w:pPr>
        <w:ind w:left="1018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3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p>
        </w:tc>
        <w:tc>
          <w:tcPr>
            <w:tcW w:w="7840" w:type="dxa"/>
            <w:vAlign w:val="bottom"/>
            <w:gridSpan w:val="5"/>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9"/>
              </w:rPr>
              <w:t>PRE-FUNDED COMMON STOCK PURCHASE WARRANT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32"/>
        </w:trPr>
        <w:tc>
          <w:tcPr>
            <w:tcW w:w="2340" w:type="dxa"/>
            <w:vAlign w:val="bottom"/>
          </w:tcPr>
          <w:p>
            <w:pPr>
              <w:spacing w:after="0"/>
              <w:rPr>
                <w:sz w:val="24"/>
                <w:szCs w:val="24"/>
                <w:color w:val="auto"/>
              </w:rPr>
            </w:pPr>
          </w:p>
        </w:tc>
        <w:tc>
          <w:tcPr>
            <w:tcW w:w="7840" w:type="dxa"/>
            <w:vAlign w:val="bottom"/>
            <w:gridSpan w:val="5"/>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9"/>
              </w:rPr>
              <w:t>JAGUAR HEALTH, INC.</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18"/>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Warrant Shares:       </w:t>
            </w:r>
          </w:p>
        </w:tc>
        <w:tc>
          <w:tcPr>
            <w:tcW w:w="4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8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w w:val="97"/>
              </w:rPr>
              <w:t>Initial Exercise Date:  </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3"/>
              </w:rPr>
              <w:t>      , 2026</w:t>
            </w:r>
          </w:p>
        </w:tc>
      </w:tr>
      <w:tr>
        <w:trPr>
          <w:trHeight w:val="20"/>
        </w:trPr>
        <w:tc>
          <w:tcPr>
            <w:tcW w:w="6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10180" w:type="dxa"/>
            <w:vAlign w:val="bottom"/>
            <w:gridSpan w:val="6"/>
          </w:tcPr>
          <w:p>
            <w:pPr>
              <w:ind w:left="980"/>
              <w:spacing w:after="0"/>
              <w:rPr>
                <w:sz w:val="20"/>
                <w:szCs w:val="20"/>
                <w:color w:val="auto"/>
              </w:rPr>
            </w:pPr>
            <w:r>
              <w:rPr>
                <w:rFonts w:ascii="Times New Roman" w:cs="Times New Roman" w:eastAsia="Times New Roman" w:hAnsi="Times New Roman"/>
                <w:sz w:val="18"/>
                <w:szCs w:val="18"/>
                <w:color w:val="auto"/>
              </w:rPr>
              <w:t xml:space="preserve">THIS PRE-FUNDED COMMON STOCK PURCHASE WARRANT (the “Warrant”) certifies that, for value received,           </w:t>
            </w:r>
          </w:p>
        </w:tc>
        <w:tc>
          <w:tcPr>
            <w:tcW w:w="10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 its</w:t>
            </w:r>
          </w:p>
        </w:tc>
      </w:tr>
      <w:tr>
        <w:trPr>
          <w:trHeight w:val="20"/>
        </w:trPr>
        <w:tc>
          <w:tcPr>
            <w:tcW w:w="23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until this Warrant is exercised in full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Jaguar Health,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shares (as subject to adjustment hereunder,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Common Stock. The purchase price of one share of Common Stock under this Warrant shall be equal to the Exercise Price, as defined in Section 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-308610</wp:posOffset>
            </wp:positionV>
            <wp:extent cx="3429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63"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Preferred Stock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_____, 2026, among the Company and the purchasers signatory thereto.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36"/>
        <w:spacing w:after="0" w:line="252" w:lineRule="auto"/>
        <w:tabs>
          <w:tab w:leader="none" w:pos="62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(i)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and (ii)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 and any assignee, by acceptance of this</w:t>
      </w:r>
    </w:p>
    <w:p>
      <w:pPr>
        <w:spacing w:after="0" w:line="1" w:lineRule="exact"/>
        <w:rPr>
          <w:rFonts w:ascii="Times New Roman" w:cs="Times New Roman" w:eastAsia="Times New Roman" w:hAnsi="Times New Roman"/>
          <w:sz w:val="18"/>
          <w:szCs w:val="18"/>
          <w:color w:val="auto"/>
        </w:rPr>
      </w:pPr>
    </w:p>
    <w:p>
      <w:pPr>
        <w:ind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ectPr>
          <w:pgSz w:w="11900" w:h="16838" w:orient="portrait"/>
          <w:cols w:equalWidth="0" w:num="1">
            <w:col w:w="11020"/>
          </w:cols>
          <w:pgMar w:left="440" w:top="117" w:right="439" w:bottom="1440" w:gutter="0" w:footer="0" w:header="0"/>
        </w:sectPr>
      </w:pPr>
    </w:p>
    <w:bookmarkStart w:id="46" w:name="page47"/>
    <w:bookmarkEnd w:id="46"/>
    <w:p>
      <w:pPr>
        <w:ind w:right="60" w:firstLine="436"/>
        <w:spacing w:after="0" w:line="277" w:lineRule="auto"/>
        <w:tabs>
          <w:tab w:leader="none" w:pos="63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Exercise Price</w:t>
      </w:r>
      <w:r>
        <w:rPr>
          <w:rFonts w:ascii="Times New Roman" w:cs="Times New Roman" w:eastAsia="Times New Roman" w:hAnsi="Times New Roman"/>
          <w:sz w:val="17"/>
          <w:szCs w:val="17"/>
          <w:color w:val="auto"/>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share of Common Stock under this Warrant shall be $0.0001, subject to adjustment hereunder (the “</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w:t>
      </w:r>
    </w:p>
    <w:p>
      <w:pPr>
        <w:spacing w:after="0" w:line="167" w:lineRule="exact"/>
        <w:rPr>
          <w:rFonts w:ascii="Times New Roman" w:cs="Times New Roman" w:eastAsia="Times New Roman" w:hAnsi="Times New Roman"/>
          <w:sz w:val="17"/>
          <w:szCs w:val="17"/>
          <w:color w:val="auto"/>
        </w:rPr>
      </w:pPr>
    </w:p>
    <w:p>
      <w:pPr>
        <w:ind w:right="100" w:firstLine="436"/>
        <w:spacing w:after="0" w:line="282" w:lineRule="auto"/>
        <w:tabs>
          <w:tab w:leader="none" w:pos="62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This Warrant may also be exercised, in whole or in part, at such time by means of a “cashless exercise” in which the Holder shall be entitled to receive a number of Warrant Shares equal to the quotient obtained by dividing [(A-B) (X)] by (A), where:</w:t>
      </w:r>
    </w:p>
    <w:p>
      <w:pPr>
        <w:sectPr>
          <w:pgSz w:w="11900" w:h="16838" w:orient="portrait"/>
          <w:cols w:equalWidth="0" w:num="1">
            <w:col w:w="11000"/>
          </w:cols>
          <w:pgMar w:left="440" w:top="270" w:right="45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the VWAP on the Trading Day immediately preceding the date of the applicable Notice of Exercise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8" w:lineRule="exact"/>
        <w:rPr>
          <w:sz w:val="20"/>
          <w:szCs w:val="20"/>
          <w:color w:val="auto"/>
        </w:rPr>
      </w:pPr>
    </w:p>
    <w:p>
      <w:pPr>
        <w:sectPr>
          <w:pgSz w:w="11900" w:h="16838" w:orient="portrait"/>
          <w:cols w:equalWidth="0" w:num="2">
            <w:col w:w="380" w:space="160"/>
            <w:col w:w="1046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Exercise Price of this Warrant, as adjusted hereunder; and</w:t>
      </w:r>
    </w:p>
    <w:p>
      <w:pPr>
        <w:spacing w:after="0" w:line="200" w:lineRule="exact"/>
        <w:rPr>
          <w:sz w:val="20"/>
          <w:szCs w:val="20"/>
          <w:color w:val="auto"/>
        </w:rPr>
      </w:pPr>
    </w:p>
    <w:p>
      <w:pPr>
        <w:sectPr>
          <w:pgSz w:w="11900" w:h="16838" w:orient="portrait"/>
          <w:cols w:equalWidth="0" w:num="2">
            <w:col w:w="380" w:space="160"/>
            <w:col w:w="10460"/>
          </w:cols>
          <w:pgMar w:left="440" w:top="270" w:right="4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sectPr>
          <w:pgSz w:w="11900" w:h="16838" w:orient="portrait"/>
          <w:cols w:equalWidth="0" w:num="2">
            <w:col w:w="380" w:space="160"/>
            <w:col w:w="10460"/>
          </w:cols>
          <w:pgMar w:left="440" w:top="270" w:right="459" w:bottom="1440" w:gutter="0" w:footer="0" w:header="0"/>
          <w:type w:val="continuous"/>
        </w:sect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OTCQB Venture Market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the OTCQX Best Market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or the OTCID Basic Market (“</w:t>
      </w:r>
      <w:r>
        <w:rPr>
          <w:rFonts w:ascii="Times New Roman" w:cs="Times New Roman" w:eastAsia="Times New Roman" w:hAnsi="Times New Roman"/>
          <w:sz w:val="18"/>
          <w:szCs w:val="18"/>
          <w:u w:val="single" w:color="auto"/>
          <w:color w:val="auto"/>
        </w:rPr>
        <w:t>OTCID</w:t>
      </w:r>
      <w:r>
        <w:rPr>
          <w:rFonts w:ascii="Times New Roman" w:cs="Times New Roman" w:eastAsia="Times New Roman" w:hAnsi="Times New Roman"/>
          <w:sz w:val="18"/>
          <w:szCs w:val="18"/>
          <w:color w:val="auto"/>
        </w:rPr>
        <w:t>”) is not a Trading Market, the volume weighted average price of the Common Stock for such date (or the nearest preceding date) on OTCQB, OTCQX or OTCID as applicable, (c) if the Common Stock is not then listed or quoted for trading on OTCQB, OTCQX or OTCID and if prices for the Common Stock are then reported on the Pink Open Market (“</w:t>
      </w:r>
      <w:r>
        <w:rPr>
          <w:rFonts w:ascii="Times New Roman" w:cs="Times New Roman" w:eastAsia="Times New Roman" w:hAnsi="Times New Roman"/>
          <w:sz w:val="18"/>
          <w:szCs w:val="18"/>
          <w:u w:val="single" w:color="auto"/>
          <w:color w:val="auto"/>
        </w:rPr>
        <w:t>Pink Market</w:t>
      </w:r>
      <w:r>
        <w:rPr>
          <w:rFonts w:ascii="Times New Roman" w:cs="Times New Roman" w:eastAsia="Times New Roman" w:hAnsi="Times New Roman"/>
          <w:sz w:val="18"/>
          <w:szCs w:val="18"/>
          <w:color w:val="auto"/>
        </w:rPr>
        <w: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640" w:hanging="204"/>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w:t>
      </w:r>
    </w:p>
    <w:p>
      <w:pPr>
        <w:sectPr>
          <w:pgSz w:w="11900" w:h="16838" w:orient="portrait"/>
          <w:cols w:equalWidth="0" w:num="1">
            <w:col w:w="11000"/>
          </w:cols>
          <w:pgMar w:left="440" w:top="270" w:right="459" w:bottom="1440" w:gutter="0" w:footer="0" w:header="0"/>
          <w:type w:val="continuous"/>
        </w:sectPr>
      </w:pPr>
    </w:p>
    <w:bookmarkStart w:id="47" w:name="page48"/>
    <w:bookmarkEnd w:id="4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spacing w:after="0" w:line="197" w:lineRule="exact"/>
        <w:rPr>
          <w:sz w:val="20"/>
          <w:szCs w:val="20"/>
          <w:color w:val="auto"/>
        </w:rPr>
      </w:pPr>
    </w:p>
    <w:p>
      <w:pPr>
        <w:ind w:right="40" w:firstLine="436"/>
        <w:spacing w:after="0" w:line="261" w:lineRule="auto"/>
        <w:tabs>
          <w:tab w:leader="none" w:pos="63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right="20" w:firstLine="436"/>
        <w:spacing w:after="0" w:line="282"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61" w:lineRule="exact"/>
        <w:rPr>
          <w:rFonts w:ascii="Times New Roman" w:cs="Times New Roman" w:eastAsia="Times New Roman" w:hAnsi="Times New Roman"/>
          <w:sz w:val="18"/>
          <w:szCs w:val="18"/>
          <w:color w:val="auto"/>
        </w:rPr>
      </w:pPr>
    </w:p>
    <w:p>
      <w:pPr>
        <w:ind w:firstLine="436"/>
        <w:spacing w:after="0" w:line="252" w:lineRule="auto"/>
        <w:tabs>
          <w:tab w:leader="none" w:pos="65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reasonable and customary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Warrant Shares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reasonably satisfactory to the Company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Warrant Shares upon exercise of the Warrant as required pursuant to the terms hereof.</w:t>
      </w:r>
    </w:p>
    <w:p>
      <w:pPr>
        <w:spacing w:after="0" w:line="191" w:lineRule="exact"/>
        <w:rPr>
          <w:rFonts w:ascii="Times New Roman" w:cs="Times New Roman" w:eastAsia="Times New Roman" w:hAnsi="Times New Roman"/>
          <w:sz w:val="18"/>
          <w:szCs w:val="18"/>
          <w:color w:val="auto"/>
        </w:rPr>
      </w:pPr>
    </w:p>
    <w:p>
      <w:pPr>
        <w:jc w:val="both"/>
        <w:ind w:right="140" w:firstLine="436"/>
        <w:spacing w:after="0" w:line="261" w:lineRule="auto"/>
        <w:tabs>
          <w:tab w:leader="none" w:pos="60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ectPr>
          <w:pgSz w:w="11900" w:h="16838" w:orient="portrait"/>
          <w:cols w:equalWidth="0" w:num="1">
            <w:col w:w="10980"/>
          </w:cols>
          <w:pgMar w:left="440" w:top="270" w:right="479" w:bottom="1440" w:gutter="0" w:footer="0" w:header="0"/>
        </w:sectPr>
      </w:pPr>
    </w:p>
    <w:bookmarkStart w:id="48" w:name="page49"/>
    <w:bookmarkEnd w:id="48"/>
    <w:p>
      <w:pPr>
        <w:ind w:left="-436" w:right="80" w:firstLine="436"/>
        <w:spacing w:after="0" w:line="254" w:lineRule="auto"/>
        <w:tabs>
          <w:tab w:leader="none" w:pos="23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91" w:lineRule="exact"/>
        <w:rPr>
          <w:rFonts w:ascii="Times New Roman" w:cs="Times New Roman" w:eastAsia="Times New Roman" w:hAnsi="Times New Roman"/>
          <w:sz w:val="18"/>
          <w:szCs w:val="18"/>
          <w:color w:val="auto"/>
        </w:rPr>
      </w:pPr>
    </w:p>
    <w:p>
      <w:pPr>
        <w:ind w:left="-436" w:right="440" w:firstLine="436"/>
        <w:spacing w:after="0" w:line="282" w:lineRule="auto"/>
        <w:tabs>
          <w:tab w:leader="none" w:pos="28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2" w:lineRule="exact"/>
        <w:rPr>
          <w:sz w:val="20"/>
          <w:szCs w:val="20"/>
          <w:color w:val="auto"/>
        </w:rPr>
      </w:pPr>
    </w:p>
    <w:p>
      <w:pPr>
        <w:ind w:left="-436" w:firstLine="436"/>
        <w:spacing w:after="0" w:line="266" w:lineRule="auto"/>
        <w:tabs>
          <w:tab w:leader="none" w:pos="18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in noncompliance with the Beneficial Ownership Limitation.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be 4.99% (or, upon election by a Holder prior to the issuance of any Warrants, 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ectPr>
          <w:pgSz w:w="11900" w:h="16838" w:orient="portrait"/>
          <w:cols w:equalWidth="0" w:num="1">
            <w:col w:w="10564"/>
          </w:cols>
          <w:pgMar w:left="876" w:top="270" w:right="459" w:bottom="1440" w:gutter="0" w:footer="0" w:header="0"/>
        </w:sectPr>
      </w:pPr>
    </w:p>
    <w:bookmarkStart w:id="49" w:name="page50"/>
    <w:bookmarkEnd w:id="49"/>
    <w:p>
      <w:pPr>
        <w:ind w:left="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36" w:firstLine="436"/>
        <w:spacing w:after="0" w:line="252" w:lineRule="auto"/>
        <w:tabs>
          <w:tab w:leader="none" w:pos="1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 For the purpose of clarification, the Exercise Price of this Warrant will not be adjusted in the event that the Company or any Subsidiary thereof, as applicable, sells or grants any option to purchase, or sells or grants any right to reprice, or otherwise dispose or issue (or announces any offer, sale, grant or any option to purchase or other disposition) any Common Stock or Common Stock Equivalents, at any effective price per share less than the Exercise Price then in effect.</w:t>
      </w:r>
    </w:p>
    <w:p>
      <w:pPr>
        <w:spacing w:after="0" w:line="197" w:lineRule="exact"/>
        <w:rPr>
          <w:rFonts w:ascii="Times New Roman" w:cs="Times New Roman" w:eastAsia="Times New Roman" w:hAnsi="Times New Roman"/>
          <w:sz w:val="18"/>
          <w:szCs w:val="18"/>
          <w:color w:val="auto"/>
        </w:rPr>
      </w:pPr>
    </w:p>
    <w:p>
      <w:pPr>
        <w:ind w:left="-436" w:firstLine="436"/>
        <w:spacing w:after="0" w:line="253" w:lineRule="auto"/>
        <w:tabs>
          <w:tab w:leader="none" w:pos="19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while the Warrant is outstanding,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provided, that such Purchase Right shall terminate on, and shall not be held in abeyance for any period subsequent to the Termination Date.</w:t>
      </w:r>
    </w:p>
    <w:p>
      <w:pPr>
        <w:spacing w:after="0" w:line="189" w:lineRule="exact"/>
        <w:rPr>
          <w:rFonts w:ascii="Times New Roman" w:cs="Times New Roman" w:eastAsia="Times New Roman" w:hAnsi="Times New Roman"/>
          <w:sz w:val="18"/>
          <w:szCs w:val="18"/>
          <w:color w:val="auto"/>
        </w:rPr>
      </w:pPr>
    </w:p>
    <w:p>
      <w:pPr>
        <w:ind w:left="-436" w:firstLine="436"/>
        <w:spacing w:after="0" w:line="252" w:lineRule="auto"/>
        <w:tabs>
          <w:tab w:leader="none" w:pos="1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sectPr>
          <w:pgSz w:w="11900" w:h="16838" w:orient="portrait"/>
          <w:cols w:equalWidth="0" w:num="1">
            <w:col w:w="10564"/>
          </w:cols>
          <w:pgMar w:left="876" w:top="270" w:right="459" w:bottom="1440" w:gutter="0" w:footer="0" w:header="0"/>
        </w:sectPr>
      </w:pPr>
    </w:p>
    <w:bookmarkStart w:id="50" w:name="page51"/>
    <w:bookmarkEnd w:id="50"/>
    <w:p>
      <w:pPr>
        <w:ind w:left="-436" w:firstLine="436"/>
        <w:spacing w:after="0" w:line="251" w:lineRule="auto"/>
        <w:tabs>
          <w:tab w:leader="none" w:pos="19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after giving effect to such transaction, the stockholders of the Company immediately prior to such transaction own less than 50% of the aggregate voting power of the Company or the successor entity of such transaction,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or more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after giving effect to such transaction, the stockholders of the Company immediately prior to such transaction own less than 50% of the aggregate voting power of the Company or the successor entity of such transaction,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or more than 50% of the voting power of the common equity of the Company (not including any shares of Common Stock held by the other Person or Persons making or party to, or associated or affiliated with the other Person or Persons making or party to, at the time of entering into such stock or share purchase agreement or other business combination)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w:t>
      </w:r>
    </w:p>
    <w:p>
      <w:pPr>
        <w:sectPr>
          <w:pgSz w:w="11900" w:h="16838" w:orient="portrait"/>
          <w:cols w:equalWidth="0" w:num="1">
            <w:col w:w="10544"/>
          </w:cols>
          <w:pgMar w:left="876" w:top="270" w:right="479" w:bottom="1440" w:gutter="0" w:footer="0" w:header="0"/>
        </w:sectPr>
      </w:pPr>
    </w:p>
    <w:bookmarkStart w:id="51" w:name="page52"/>
    <w:bookmarkEnd w:id="51"/>
    <w:p>
      <w:pPr>
        <w:ind w:left="4"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3(e) regardless of (i) whether the Company has sufficient authorized shares of Common Stock for the issuance of Warrant Shares and/or (ii) whether a Fundamental Transaction occurs prior to the Initial Exercise Date.</w:t>
      </w:r>
    </w:p>
    <w:p>
      <w:pPr>
        <w:spacing w:after="0" w:line="189" w:lineRule="exact"/>
        <w:rPr>
          <w:sz w:val="20"/>
          <w:szCs w:val="20"/>
          <w:color w:val="auto"/>
        </w:rPr>
      </w:pPr>
    </w:p>
    <w:p>
      <w:pPr>
        <w:ind w:left="4" w:right="60" w:firstLine="436"/>
        <w:spacing w:after="0" w:line="266" w:lineRule="auto"/>
        <w:tabs>
          <w:tab w:leader="none" w:pos="62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of Common Stock,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604" w:hanging="164"/>
        <w:spacing w:after="0"/>
        <w:tabs>
          <w:tab w:leader="none" w:pos="60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76" w:lineRule="exact"/>
        <w:rPr>
          <w:sz w:val="20"/>
          <w:szCs w:val="20"/>
          <w:color w:val="auto"/>
        </w:rPr>
      </w:pPr>
    </w:p>
    <w:p>
      <w:pPr>
        <w:jc w:val="both"/>
        <w:ind w:left="4" w:right="120" w:firstLine="436"/>
        <w:spacing w:after="0" w:line="272" w:lineRule="auto"/>
        <w:tabs>
          <w:tab w:leader="none" w:pos="634"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Allow Exercise by Holder</w:t>
      </w:r>
      <w:r>
        <w:rPr>
          <w:rFonts w:ascii="Times New Roman" w:cs="Times New Roman" w:eastAsia="Times New Roman" w:hAnsi="Times New Roman"/>
          <w:sz w:val="17"/>
          <w:szCs w:val="17"/>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9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any stockholders of the Company shall be required in connection with any Fundamental Transaction,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91" w:lineRule="exact"/>
        <w:rPr>
          <w:sz w:val="20"/>
          <w:szCs w:val="20"/>
          <w:color w:val="auto"/>
        </w:rPr>
      </w:pPr>
    </w:p>
    <w:p>
      <w:pPr>
        <w:ind w:left="4" w:right="120" w:firstLine="436"/>
        <w:spacing w:after="0" w:line="266" w:lineRule="auto"/>
        <w:tabs>
          <w:tab w:leader="none" w:pos="63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36"/>
        <w:spacing w:after="0" w:line="253" w:lineRule="auto"/>
        <w:tabs>
          <w:tab w:leader="none" w:pos="62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ectPr>
          <w:pgSz w:w="11900" w:h="16838" w:orient="portrait"/>
          <w:cols w:equalWidth="0" w:num="1">
            <w:col w:w="11004"/>
          </w:cols>
          <w:pgMar w:left="436" w:top="270" w:right="459" w:bottom="1440" w:gutter="0" w:footer="0" w:header="0"/>
        </w:sectPr>
      </w:pPr>
    </w:p>
    <w:bookmarkStart w:id="52" w:name="page53"/>
    <w:bookmarkEnd w:id="52"/>
    <w:p>
      <w:pPr>
        <w:ind w:right="40" w:firstLine="436"/>
        <w:spacing w:after="0" w:line="256" w:lineRule="auto"/>
        <w:tabs>
          <w:tab w:leader="none" w:pos="63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as of the initial issuance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ind w:right="300" w:firstLine="436"/>
        <w:spacing w:after="0" w:line="261" w:lineRule="auto"/>
        <w:tabs>
          <w:tab w:leader="none" w:pos="62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61" w:lineRule="auto"/>
        <w:tabs>
          <w:tab w:leader="none" w:pos="62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79" w:lineRule="exact"/>
        <w:rPr>
          <w:rFonts w:ascii="Times New Roman" w:cs="Times New Roman" w:eastAsia="Times New Roman" w:hAnsi="Times New Roman"/>
          <w:sz w:val="18"/>
          <w:szCs w:val="18"/>
          <w:color w:val="auto"/>
        </w:rPr>
      </w:pPr>
    </w:p>
    <w:p>
      <w:pPr>
        <w:ind w:right="180" w:firstLine="436"/>
        <w:spacing w:after="0" w:line="258" w:lineRule="auto"/>
        <w:tabs>
          <w:tab w:leader="none" w:pos="63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right="360" w:firstLine="436"/>
        <w:spacing w:after="0" w:line="282" w:lineRule="auto"/>
        <w:tabs>
          <w:tab w:leader="none" w:pos="62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61" w:lineRule="exact"/>
        <w:rPr>
          <w:rFonts w:ascii="Times New Roman" w:cs="Times New Roman" w:eastAsia="Times New Roman" w:hAnsi="Times New Roman"/>
          <w:sz w:val="18"/>
          <w:szCs w:val="18"/>
          <w:color w:val="auto"/>
        </w:rPr>
      </w:pPr>
    </w:p>
    <w:p>
      <w:pPr>
        <w:ind w:left="640" w:hanging="204"/>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71" w:lineRule="auto"/>
        <w:rPr>
          <w:sz w:val="20"/>
          <w:szCs w:val="20"/>
          <w:color w:val="auto"/>
        </w:rPr>
      </w:pPr>
      <w:r>
        <w:rPr>
          <w:rFonts w:ascii="Times New Roman" w:cs="Times New Roman" w:eastAsia="Times New Roman" w:hAnsi="Times New Roman"/>
          <w:sz w:val="17"/>
          <w:szCs w:val="17"/>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7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w:t>
      </w:r>
    </w:p>
    <w:p>
      <w:pPr>
        <w:sectPr>
          <w:pgSz w:w="11900" w:h="16838" w:orient="portrait"/>
          <w:cols w:equalWidth="0" w:num="1">
            <w:col w:w="11000"/>
          </w:cols>
          <w:pgMar w:left="440" w:top="270" w:right="459" w:bottom="1440" w:gutter="0" w:footer="0" w:header="0"/>
        </w:sectPr>
      </w:pPr>
    </w:p>
    <w:bookmarkStart w:id="53" w:name="page54"/>
    <w:bookmarkEnd w:id="53"/>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76"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right="60" w:firstLine="436"/>
        <w:spacing w:after="0" w:line="252" w:lineRule="auto"/>
        <w:tabs>
          <w:tab w:leader="none" w:pos="62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95" w:lineRule="exact"/>
        <w:rPr>
          <w:rFonts w:ascii="Times New Roman" w:cs="Times New Roman" w:eastAsia="Times New Roman" w:hAnsi="Times New Roman"/>
          <w:sz w:val="18"/>
          <w:szCs w:val="18"/>
          <w:color w:val="auto"/>
        </w:rPr>
      </w:pPr>
    </w:p>
    <w:p>
      <w:pPr>
        <w:ind w:right="380" w:firstLine="436"/>
        <w:spacing w:after="0" w:line="282" w:lineRule="auto"/>
        <w:tabs>
          <w:tab w:leader="none" w:pos="60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ind w:right="20" w:firstLine="436"/>
        <w:spacing w:after="0" w:line="256" w:lineRule="auto"/>
        <w:tabs>
          <w:tab w:leader="none" w:pos="6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right="40" w:firstLine="436"/>
        <w:spacing w:after="0" w:line="253" w:lineRule="auto"/>
        <w:tabs>
          <w:tab w:leader="none" w:pos="6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200 Pine Street, Suite 400, San Francisco, CA 94104, Attention:             , email address:             ,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-1403350</wp:posOffset>
            </wp:positionV>
            <wp:extent cx="6858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5000625</wp:posOffset>
            </wp:positionH>
            <wp:positionV relativeFrom="paragraph">
              <wp:posOffset>-1403350</wp:posOffset>
            </wp:positionV>
            <wp:extent cx="6858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54" w:name="page55"/>
    <w:bookmarkEnd w:id="54"/>
    <w:p>
      <w:pPr>
        <w:ind w:firstLine="436"/>
        <w:spacing w:after="0" w:line="266" w:lineRule="auto"/>
        <w:tabs>
          <w:tab w:leader="none" w:pos="5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5" w:lineRule="exact"/>
        <w:rPr>
          <w:rFonts w:ascii="Times New Roman" w:cs="Times New Roman" w:eastAsia="Times New Roman" w:hAnsi="Times New Roman"/>
          <w:sz w:val="18"/>
          <w:szCs w:val="18"/>
          <w:color w:val="auto"/>
        </w:rPr>
      </w:pPr>
    </w:p>
    <w:p>
      <w:pPr>
        <w:ind w:right="120" w:firstLine="436"/>
        <w:spacing w:after="0" w:line="261" w:lineRule="auto"/>
        <w:tabs>
          <w:tab w:leader="none" w:pos="5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ind w:firstLine="436"/>
        <w:spacing w:after="0" w:line="261" w:lineRule="auto"/>
        <w:tabs>
          <w:tab w:leader="none" w:pos="6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right="160" w:firstLine="436"/>
        <w:spacing w:after="0" w:line="282" w:lineRule="auto"/>
        <w:tabs>
          <w:tab w:leader="none" w:pos="5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or the beneficial owner of this Warrant, on the other hand.</w:t>
      </w:r>
    </w:p>
    <w:p>
      <w:pPr>
        <w:spacing w:after="0" w:line="161" w:lineRule="exact"/>
        <w:rPr>
          <w:rFonts w:ascii="Times New Roman" w:cs="Times New Roman" w:eastAsia="Times New Roman" w:hAnsi="Times New Roman"/>
          <w:sz w:val="18"/>
          <w:szCs w:val="18"/>
          <w:color w:val="auto"/>
        </w:rPr>
      </w:pPr>
    </w:p>
    <w:p>
      <w:pPr>
        <w:ind w:right="420" w:firstLine="436"/>
        <w:spacing w:after="0" w:line="266" w:lineRule="auto"/>
        <w:tabs>
          <w:tab w:leader="none" w:pos="68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640" w:hanging="204"/>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0960"/>
          </w:cols>
          <w:pgMar w:left="440" w:top="270" w:right="499" w:bottom="1440" w:gutter="0" w:footer="0" w:header="0"/>
        </w:sectPr>
      </w:pPr>
    </w:p>
    <w:bookmarkStart w:id="55" w:name="page56"/>
    <w:bookmarkEnd w:id="55"/>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JAGUAR HEALTH,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______________________</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80"/>
          </w:cols>
          <w:pgMar w:left="440" w:top="270" w:right="479" w:bottom="1440" w:gutter="0" w:footer="0" w:header="0"/>
        </w:sectPr>
      </w:pPr>
    </w:p>
    <w:bookmarkStart w:id="56" w:name="page57"/>
    <w:bookmarkEnd w:id="56"/>
    <w:tbl>
      <w:tblPr>
        <w:tblLayout w:type="fixed"/>
        <w:tblInd w:w="4"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6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NOTICE OF EXERCISE</w:t>
            </w:r>
          </w:p>
        </w:tc>
      </w:tr>
      <w:tr>
        <w:trPr>
          <w:trHeight w:val="459"/>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102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JAGUAR HEALTH, INC.</w:t>
            </w:r>
          </w:p>
        </w:tc>
      </w:tr>
      <w:tr>
        <w:trPr>
          <w:trHeight w:val="392"/>
        </w:trPr>
        <w:tc>
          <w:tcPr>
            <w:tcW w:w="640" w:type="dxa"/>
            <w:vAlign w:val="bottom"/>
          </w:tcPr>
          <w:p>
            <w:pPr>
              <w:spacing w:after="0"/>
              <w:rPr>
                <w:sz w:val="24"/>
                <w:szCs w:val="24"/>
                <w:color w:val="auto"/>
              </w:rPr>
            </w:pPr>
          </w:p>
        </w:tc>
        <w:tc>
          <w:tcPr>
            <w:tcW w:w="102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(1) The undersigned hereby elects to purchase                Warrant Shares of the Company pursuant to the terms of the attached Warrant</w:t>
            </w:r>
          </w:p>
        </w:tc>
      </w:tr>
      <w:tr>
        <w:trPr>
          <w:trHeight w:val="20"/>
        </w:trPr>
        <w:tc>
          <w:tcPr>
            <w:tcW w:w="6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(only if exercised in full), and tenders herewith payment of the exercise price in full, together with all applicable transfer taxes, if any.</w:t>
      </w:r>
    </w:p>
    <w:p>
      <w:pPr>
        <w:spacing w:after="0" w:line="225" w:lineRule="exact"/>
        <w:rPr>
          <w:sz w:val="20"/>
          <w:szCs w:val="20"/>
          <w:color w:val="auto"/>
        </w:rPr>
      </w:pPr>
    </w:p>
    <w:p>
      <w:pPr>
        <w:ind w:left="1244" w:hanging="253"/>
        <w:spacing w:after="0"/>
        <w:tabs>
          <w:tab w:leader="none" w:pos="124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04" w:hanging="204"/>
        <w:spacing w:after="0"/>
        <w:tabs>
          <w:tab w:leader="none" w:pos="204" w:val="left"/>
        </w:tabs>
        <w:numPr>
          <w:ilvl w:val="0"/>
          <w:numId w:val="6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ind w:left="4" w:hanging="4"/>
        <w:spacing w:after="0" w:line="266" w:lineRule="auto"/>
        <w:tabs>
          <w:tab w:leader="none" w:pos="211" w:val="left"/>
        </w:tabs>
        <w:numPr>
          <w:ilvl w:val="0"/>
          <w:numId w:val="6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244" w:hanging="253"/>
        <w:spacing w:after="0"/>
        <w:tabs>
          <w:tab w:leader="none" w:pos="124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w:t>
      </w:r>
    </w:p>
    <w:p>
      <w:pPr>
        <w:sectPr>
          <w:pgSz w:w="11900" w:h="16838" w:orient="portrait"/>
          <w:cols w:equalWidth="0" w:num="1">
            <w:col w:w="10984"/>
          </w:cols>
          <w:pgMar w:left="436" w:top="266" w:right="479" w:bottom="1440" w:gutter="0" w:footer="0" w:header="0"/>
        </w:sectPr>
      </w:pPr>
    </w:p>
    <w:bookmarkStart w:id="57" w:name="page58"/>
    <w:bookmarkEnd w:id="57"/>
    <w:p>
      <w:pPr>
        <w:ind w:left="4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7" w:lineRule="exact"/>
        <w:rPr>
          <w:sz w:val="20"/>
          <w:szCs w:val="20"/>
          <w:color w:val="auto"/>
        </w:rPr>
      </w:pPr>
    </w:p>
    <w:p>
      <w:pPr>
        <w:ind w:left="440" w:right="899" w:hanging="439"/>
        <w:spacing w:after="0" w:line="409"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17145</wp:posOffset>
            </wp:positionV>
            <wp:extent cx="13970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16"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17145</wp:posOffset>
            </wp:positionV>
            <wp:extent cx="13970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16"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17145</wp:posOffset>
            </wp:positionV>
            <wp:extent cx="13970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17145</wp:posOffset>
            </wp:positionV>
            <wp:extent cx="13970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-7620</wp:posOffset>
            </wp:positionV>
            <wp:extent cx="16281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Holder’s Signature: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Holder’s Address:                                      </w:t>
      </w:r>
    </w:p>
    <w:p>
      <w:pPr>
        <w:sectPr>
          <w:pgSz w:w="11900" w:h="16838" w:orient="portrait"/>
          <w:cols w:equalWidth="0" w:num="1">
            <w:col w:w="10019"/>
          </w:cols>
          <w:pgMar w:left="440" w:top="266" w:right="1440"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PURCHASE AGREEMENT</w:t>
      </w:r>
    </w:p>
    <w:p>
      <w:pPr>
        <w:spacing w:after="0" w:line="225"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COMMON STOCK PURCHASE AGREEMENT</w:t>
      </w:r>
      <w:r>
        <w:rPr>
          <w:rFonts w:ascii="Times New Roman" w:cs="Times New Roman" w:eastAsia="Times New Roman" w:hAnsi="Times New Roman"/>
          <w:sz w:val="18"/>
          <w:szCs w:val="18"/>
          <w:color w:val="auto"/>
        </w:rPr>
        <w:t xml:space="preserve"> is made and entered into as of June 9, 2026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among C/M Capital Partners, LP, a [ ] limited liability company (the “</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and Jaguar Health,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10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that, upon the terms and subject to the conditions and limitations set forth herein, the Company may issue and sell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Investor, from time to time as provided herein, and the Investor shall purchase from the Company, up to the lesser of (a) $40,000,000 and (b)</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19.99% of the Company’s outstanding shares of Common Stock as of the date of this Agreement, unless (i) stockholder approval is obtained to issue more than such 19.99% (“</w:t>
      </w:r>
      <w:r>
        <w:rPr>
          <w:rFonts w:ascii="Times New Roman" w:cs="Times New Roman" w:eastAsia="Times New Roman" w:hAnsi="Times New Roman"/>
          <w:sz w:val="18"/>
          <w:szCs w:val="18"/>
          <w:b w:val="1"/>
          <w:bCs w:val="1"/>
          <w:i w:val="1"/>
          <w:iCs w:val="1"/>
          <w:color w:val="auto"/>
        </w:rPr>
        <w:t>Stockholder Approval</w:t>
      </w:r>
      <w:r>
        <w:rPr>
          <w:rFonts w:ascii="Times New Roman" w:cs="Times New Roman" w:eastAsia="Times New Roman" w:hAnsi="Times New Roman"/>
          <w:sz w:val="18"/>
          <w:szCs w:val="18"/>
          <w:color w:val="auto"/>
        </w:rPr>
        <w:t>”) or (ii) the price of applicable sales of Common Stock to the Investor under this Agreement equals or exceeds the lower of (A) the official Closing Sale Price on the Eligible Market on which the Company’s Common Stock is then listed or quoted for trading immediately preceding the delivery of the applicable Fixed Purchase notice, VWAP Purchase notice, or Additional VWAP Purchase notice to the Investor and (B) the average of the Closing Sale Prices of the Common Stock on the Eligible Market for the five business days immediately preceding the delivery of such Fixed Purchase notice, VWAP Purchase notice or Additional VWAP Purchase Notice, as applicable (in each case plus an incremental amount to take into account the Commitment Shares), such that the sales of such Common Stock to the Investor would not count toward the 19.99% because they are “at market” under applicable Eligible Market rules;</w:t>
      </w:r>
    </w:p>
    <w:p>
      <w:pPr>
        <w:spacing w:after="0" w:line="190"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consideration for the Investor’s execution and delivery of this Agreement, the Company shall cause its Transfer Agent to issue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Investor the Commitment Shares in accordance with the terms and subject to the conditions of this Agreement; and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parties hereto are concurrently entering into a Registration Rights Agreement in the form attached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pursuant to which the Company shall provide Investor with certain registration rights related to the shares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this Agreement, upon the terms and subject to the conditions set forth therein.</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parties hereto, intending to be legally bound, hereby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 OF COMMON STOCK</w:t>
      </w:r>
    </w:p>
    <w:p>
      <w:pPr>
        <w:spacing w:after="0" w:line="203"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Purchase and Sale of Stock</w:t>
      </w:r>
      <w:r>
        <w:rPr>
          <w:rFonts w:ascii="Times New Roman" w:cs="Times New Roman" w:eastAsia="Times New Roman" w:hAnsi="Times New Roman"/>
          <w:sz w:val="18"/>
          <w:szCs w:val="18"/>
          <w:color w:val="auto"/>
        </w:rPr>
        <w:t>. Upon the terms and subject to the conditions of this Agreement, during the Investment Period,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its sole discretion, shall have the right, but not the obligation, to issue and sell to the Investor, and the Investor shall purchase from the Company, up to the lesser of (a) $40,000,000 and (b) 19.99% of the Company’s outstanding shares of Common Stock as of the date of this Agreement, including the Commitment Shares, which number of shares shall be reduced on a share-for-share basis, by the number of shares of Common Stock issued or issuable pursuant to any transaction or series of transactions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59" w:name="page60"/>
    <w:bookmarkEnd w:id="59"/>
    <w:p>
      <w:pPr>
        <w:jc w:val="both"/>
        <w:ind w:left="4" w:right="2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may be aggregated with the transactions contemplated by this Agreement under the applicable rules of the Trading Market (such maximum amount of shares of Common Stock issuable by the Company under this Agreement, the “</w:t>
      </w:r>
      <w:r>
        <w:rPr>
          <w:rFonts w:ascii="Times New Roman" w:cs="Times New Roman" w:eastAsia="Times New Roman" w:hAnsi="Times New Roman"/>
          <w:sz w:val="17"/>
          <w:szCs w:val="17"/>
          <w:b w:val="1"/>
          <w:bCs w:val="1"/>
          <w:i w:val="1"/>
          <w:iCs w:val="1"/>
          <w:color w:val="auto"/>
        </w:rPr>
        <w:t>Aggregate Limit</w:t>
      </w:r>
      <w:r>
        <w:rPr>
          <w:rFonts w:ascii="Times New Roman" w:cs="Times New Roman" w:eastAsia="Times New Roman" w:hAnsi="Times New Roman"/>
          <w:sz w:val="17"/>
          <w:szCs w:val="17"/>
          <w:color w:val="auto"/>
        </w:rPr>
        <w:t>”), unless (i) stockholder approval is obtained to issue more than such 19.99% (the “</w:t>
      </w:r>
      <w:r>
        <w:rPr>
          <w:rFonts w:ascii="Times New Roman" w:cs="Times New Roman" w:eastAsia="Times New Roman" w:hAnsi="Times New Roman"/>
          <w:sz w:val="17"/>
          <w:szCs w:val="17"/>
          <w:b w:val="1"/>
          <w:bCs w:val="1"/>
          <w:i w:val="1"/>
          <w:iCs w:val="1"/>
          <w:color w:val="auto"/>
        </w:rPr>
        <w:t>Stockholder Approval</w:t>
      </w:r>
      <w:r>
        <w:rPr>
          <w:rFonts w:ascii="Times New Roman" w:cs="Times New Roman" w:eastAsia="Times New Roman" w:hAnsi="Times New Roman"/>
          <w:sz w:val="17"/>
          <w:szCs w:val="17"/>
          <w:color w:val="auto"/>
        </w:rPr>
        <w:t>” and the date upon which Stockholder Approval is obtained, the “</w:t>
      </w:r>
      <w:r>
        <w:rPr>
          <w:rFonts w:ascii="Times New Roman" w:cs="Times New Roman" w:eastAsia="Times New Roman" w:hAnsi="Times New Roman"/>
          <w:sz w:val="17"/>
          <w:szCs w:val="17"/>
          <w:b w:val="1"/>
          <w:bCs w:val="1"/>
          <w:i w:val="1"/>
          <w:iCs w:val="1"/>
          <w:color w:val="auto"/>
        </w:rPr>
        <w:t>Stockholder Approval Date</w:t>
      </w:r>
      <w:r>
        <w:rPr>
          <w:rFonts w:ascii="Times New Roman" w:cs="Times New Roman" w:eastAsia="Times New Roman" w:hAnsi="Times New Roman"/>
          <w:sz w:val="17"/>
          <w:szCs w:val="17"/>
          <w:color w:val="auto"/>
        </w:rPr>
        <w:t>”) or</w:t>
      </w:r>
    </w:p>
    <w:p>
      <w:pPr>
        <w:spacing w:after="0" w:line="2" w:lineRule="exact"/>
        <w:rPr>
          <w:sz w:val="20"/>
          <w:szCs w:val="20"/>
          <w:color w:val="auto"/>
        </w:rPr>
      </w:pPr>
    </w:p>
    <w:p>
      <w:pPr>
        <w:ind w:left="4" w:hanging="4"/>
        <w:spacing w:after="0" w:line="251" w:lineRule="auto"/>
        <w:tabs>
          <w:tab w:leader="none" w:pos="26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applicable sales of Common Stock to the Investor under this Agreement equals or exceeds the lower of (A) the official Closing Sale Price on the Eligible Market on which the Company’s Common Stock is then listed or quoted for trading immediately preceding the delivery of the applicable Fixed Purchase notice, VWAP Purchase notice, or Additional VWAP Purchase notice to the Investor and (B) the average of the Closing Sale Prices of the Common Stock on the Eligible Market for the five business days immediately preceding the delivery of such Fixed Purchase notice, VWAP Purchase notice or Additional VWAP Purchase Notice, as applicable (in each case, plus an incremental amount to take into account the Commitment Shares), such that the sales of such Common Stock to the Investor would not count toward the 19.99% because they are “at market” under applicable Eligible Market rules (the “</w:t>
      </w:r>
      <w:r>
        <w:rPr>
          <w:rFonts w:ascii="Times New Roman" w:cs="Times New Roman" w:eastAsia="Times New Roman" w:hAnsi="Times New Roman"/>
          <w:sz w:val="18"/>
          <w:szCs w:val="18"/>
          <w:b w:val="1"/>
          <w:bCs w:val="1"/>
          <w:i w:val="1"/>
          <w:iCs w:val="1"/>
          <w:color w:val="auto"/>
        </w:rPr>
        <w:t>Total Purchase Commitment</w:t>
      </w:r>
      <w:r>
        <w:rPr>
          <w:rFonts w:ascii="Times New Roman" w:cs="Times New Roman" w:eastAsia="Times New Roman" w:hAnsi="Times New Roman"/>
          <w:sz w:val="18"/>
          <w:szCs w:val="18"/>
          <w:color w:val="auto"/>
        </w:rPr>
        <w:t>”), to the extent applicable under Section 2.4, by the delivery to the Investor of Fixed Purchase Notices, VWAP Purchase Notices, or Additional VWAP Purchase Notices, as provided in Article II.</w:t>
      </w:r>
    </w:p>
    <w:p>
      <w:pPr>
        <w:spacing w:after="0" w:line="190" w:lineRule="exact"/>
        <w:rPr>
          <w:sz w:val="20"/>
          <w:szCs w:val="20"/>
          <w:color w:val="auto"/>
        </w:rPr>
      </w:pPr>
    </w:p>
    <w:p>
      <w:pPr>
        <w:ind w:left="4" w:firstLine="440"/>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Closing Date; Settlement Dates</w:t>
      </w:r>
      <w:r>
        <w:rPr>
          <w:rFonts w:ascii="Times New Roman" w:cs="Times New Roman" w:eastAsia="Times New Roman" w:hAnsi="Times New Roman"/>
          <w:sz w:val="18"/>
          <w:szCs w:val="18"/>
          <w:color w:val="auto"/>
        </w:rPr>
        <w:t>. This Agreement shall become effective and binding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upon (a) the delivery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 signature pages of this Agreement and the Registration Rights Agreement executed by each of the parties hereto and thereto, and (b) the delivery of all other documents, instruments and writings required to be delivered at the Closing, in each case as provided in Section 6.1, to the offices of Pryor Cashman LLP, 7 Times Square, New York, NY 10036, at 1:00 p.m., New York City time, on the Closing Date, or such other time and place as the parties hereto shall agree. In consideration of, and in express reliance upon, the representations, warranties and covenants contained in, and upon the terms and subject to the conditions of, this Agreement, during the Investment Period the Company, at its sole option and discretion, may issue and sell to the Investor, and, if the Company elects to so issue and sell, the Investor shall purchase from the Company, the Shares in respect of each Fixed Purchase, VWAP Purchase and Additional VWAP Purchase (each, a “</w:t>
      </w:r>
      <w:r>
        <w:rPr>
          <w:rFonts w:ascii="Times New Roman" w:cs="Times New Roman" w:eastAsia="Times New Roman" w:hAnsi="Times New Roman"/>
          <w:sz w:val="18"/>
          <w:szCs w:val="18"/>
          <w:b w:val="1"/>
          <w:bCs w:val="1"/>
          <w:i w:val="1"/>
          <w:iCs w:val="1"/>
          <w:color w:val="auto"/>
        </w:rPr>
        <w:t>Settlement</w:t>
      </w:r>
      <w:r>
        <w:rPr>
          <w:rFonts w:ascii="Times New Roman" w:cs="Times New Roman" w:eastAsia="Times New Roman" w:hAnsi="Times New Roman"/>
          <w:sz w:val="18"/>
          <w:szCs w:val="18"/>
          <w:color w:val="auto"/>
        </w:rPr>
        <w:t>”). The payment for the Shares in respect of each Fixed Purchase, VWAP Purchase and Additional VWAP Purchase shall occur (i) on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Trading Day following delivery of the Shares by the Company, and (ii) in accordance with Article II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all of the conditions precedent in Article VII shall have been fulfilled at the applicable times set forth in Article VII.</w:t>
      </w:r>
    </w:p>
    <w:p>
      <w:pPr>
        <w:spacing w:after="0" w:line="194"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b w:val="1"/>
          <w:bCs w:val="1"/>
          <w:u w:val="single" w:color="auto"/>
          <w:color w:val="auto"/>
        </w:rPr>
        <w:t>Initial Public Announcements and Required Filings</w:t>
      </w:r>
      <w:r>
        <w:rPr>
          <w:rFonts w:ascii="Times New Roman" w:cs="Times New Roman" w:eastAsia="Times New Roman" w:hAnsi="Times New Roman"/>
          <w:sz w:val="18"/>
          <w:szCs w:val="18"/>
          <w:color w:val="auto"/>
        </w:rPr>
        <w:t>. The Company shall, within the time period required under the Exchange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file with the Commission a Current Report on Form 8-K describing the material terms of the transactions contemplated by the Transaction Documents, including, without limitation, the issuance of the Commitment Shares to the Investor pursuant to the terms of this Agreement, and attaching as exhibits thereto copies of each of this Agreement, the Registration Rights Agreement, and, if applicable, any press release issued by the Company disclosing the execution of this Agreement by the Company (including all exhibits thereto, the “</w:t>
      </w:r>
      <w:r>
        <w:rPr>
          <w:rFonts w:ascii="Times New Roman" w:cs="Times New Roman" w:eastAsia="Times New Roman" w:hAnsi="Times New Roman"/>
          <w:sz w:val="18"/>
          <w:szCs w:val="18"/>
          <w:b w:val="1"/>
          <w:bCs w:val="1"/>
          <w:i w:val="1"/>
          <w:iCs w:val="1"/>
          <w:color w:val="auto"/>
        </w:rPr>
        <w:t>Current Report</w:t>
      </w:r>
      <w:r>
        <w:rPr>
          <w:rFonts w:ascii="Times New Roman" w:cs="Times New Roman" w:eastAsia="Times New Roman" w:hAnsi="Times New Roman"/>
          <w:sz w:val="18"/>
          <w:szCs w:val="18"/>
          <w:color w:val="auto"/>
        </w:rPr>
        <w:t>”). The Company shall provide the Investor a reasonable opportunity to comment on a draft of the Current Report prior to filing the Current Report with the Commission and shall give due consideration to all such comments. From and after the filing of the Current Report with the Commission, the Company shall have publicly disclosed all material, nonpublic information delivered to the Investor (or the Investor’s representatives or agents) by the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60" w:name="page61"/>
    <w:bookmarkEnd w:id="60"/>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any of its Subsidiaries, or any of their respective officers, directors, employees, agents or representatives (if any) in connection with the transactions contemplated by the Transaction Documents. The Investor covenants that until such time as the transactions contemplated by this Agreement are publicly disclosed by the Company as described in this Section 1.3, the Investor shall maintain the confidentiality of all disclosures made to it in connection with the transactions contemplated by the Transaction Documents (including the existence and terms of the transactions), except that the Investor may disclose the terms of such transactions to its financial, accounting, legal and other advisors (provided that the Investor directs such Persons to maintain the confidentiality of such information). The Company shall use its commercially reasonable efforts to prepare and, as soon as practicable, but in no event later than the applicable Filing Deadline, file with the Commission the Registration Statement covering only the resale by the Investor of the Registrable Securities in accordance with the Securities Act and the Registration Rights Agreement. At or before 8:30 a.m. (New York City time) on the Trading Day immediately following the Effective Date of the Registration Statement, the Company shall use its commercially reasonable efforts to file with the Commission in accordance with Rule 424(b) under the Securities Act the final Prospectus to be used in connection with sales pursuant to such Registration Statement (or post-effective amendment thereto).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TERMS</w:t>
      </w:r>
    </w:p>
    <w:p>
      <w:pPr>
        <w:spacing w:after="0" w:line="207"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Subject to the satisfaction or (to the extent permitted by applicable law) waiver of the conditions set forth in this Agreement, the parties agree (unless otherwise mutually agreed upon by the parties in writing) as follows:</w:t>
      </w:r>
    </w:p>
    <w:p>
      <w:pPr>
        <w:spacing w:after="0" w:line="15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Fixed Purchases</w:t>
      </w:r>
      <w:r>
        <w:rPr>
          <w:rFonts w:ascii="Times New Roman" w:cs="Times New Roman" w:eastAsia="Times New Roman" w:hAnsi="Times New Roman"/>
          <w:sz w:val="18"/>
          <w:szCs w:val="18"/>
          <w:color w:val="auto"/>
        </w:rPr>
        <w:t>. Upon the initial satisfaction of all of the conditions set forth in set forth in Section 6.2, (the “</w:t>
      </w:r>
      <w:r>
        <w:rPr>
          <w:rFonts w:ascii="Times New Roman" w:cs="Times New Roman" w:eastAsia="Times New Roman" w:hAnsi="Times New Roman"/>
          <w:sz w:val="18"/>
          <w:szCs w:val="18"/>
          <w:b w:val="1"/>
          <w:bCs w:val="1"/>
          <w:i w:val="1"/>
          <w:iCs w:val="1"/>
          <w:color w:val="auto"/>
        </w:rPr>
        <w:t>Commencement</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initial satisfaction of all of such conditions, the “</w:t>
      </w:r>
      <w:r>
        <w:rPr>
          <w:rFonts w:ascii="Times New Roman" w:cs="Times New Roman" w:eastAsia="Times New Roman" w:hAnsi="Times New Roman"/>
          <w:sz w:val="18"/>
          <w:szCs w:val="18"/>
          <w:b w:val="1"/>
          <w:bCs w:val="1"/>
          <w:i w:val="1"/>
          <w:iCs w:val="1"/>
          <w:color w:val="auto"/>
        </w:rPr>
        <w:t>Commencement Date</w:t>
      </w:r>
      <w:r>
        <w:rPr>
          <w:rFonts w:ascii="Times New Roman" w:cs="Times New Roman" w:eastAsia="Times New Roman" w:hAnsi="Times New Roman"/>
          <w:sz w:val="18"/>
          <w:szCs w:val="18"/>
          <w:color w:val="auto"/>
        </w:rPr>
        <w:t>”) and from time to time thereafter, subject to the satisfaction of all of the conditions set forth in Section 6.3, and on any business day selected by the Company where the Closing Sale Price on the Eligible Market, is equal to or greater than the Floor Price, the Company shall have the right, but not the obligation, to direct the Investor, by its delivery to the Investor of a Fixed Purchase Notice, to purchase a Fixed Purchase Share Amount, not to exceed the applicable Fixed Purchase Maximum Amount (calculated as of the applicable Fixed Purchase Date), at the applicable Fixed Purchase Price therefor on the applicable Fixed Purchase Date in accordance with this Agreement (each such purchase a “</w:t>
      </w:r>
      <w:r>
        <w:rPr>
          <w:rFonts w:ascii="Times New Roman" w:cs="Times New Roman" w:eastAsia="Times New Roman" w:hAnsi="Times New Roman"/>
          <w:sz w:val="18"/>
          <w:szCs w:val="18"/>
          <w:b w:val="1"/>
          <w:bCs w:val="1"/>
          <w:i w:val="1"/>
          <w:iCs w:val="1"/>
          <w:color w:val="auto"/>
        </w:rPr>
        <w:t>Fixed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Investor’s committed obligation under any single Fixed Purchase shall not exceed $1,500,000 (provided that all shares of Common Stock in respect of all prior Fixed Purchases, VWAP Purchases and Additional VWAP Purchases shall have been delivered to the Investor via Deposit/Withdrawal at Custodian (“</w:t>
      </w:r>
      <w:r>
        <w:rPr>
          <w:rFonts w:ascii="Times New Roman" w:cs="Times New Roman" w:eastAsia="Times New Roman" w:hAnsi="Times New Roman"/>
          <w:sz w:val="18"/>
          <w:szCs w:val="18"/>
          <w:b w:val="1"/>
          <w:bCs w:val="1"/>
          <w:i w:val="1"/>
          <w:iCs w:val="1"/>
          <w:color w:val="auto"/>
        </w:rPr>
        <w:t>DWAC</w:t>
      </w:r>
      <w:r>
        <w:rPr>
          <w:rFonts w:ascii="Times New Roman" w:cs="Times New Roman" w:eastAsia="Times New Roman" w:hAnsi="Times New Roman"/>
          <w:sz w:val="18"/>
          <w:szCs w:val="18"/>
          <w:color w:val="auto"/>
        </w:rPr>
        <w:t xml:space="preserve">”)). If the Company delivers any Fixed Purchase Notice directing the Investor to purchase a Fixed Purchase Share Amount in excess of the applicable Fixed Purchase Maximum Amount (calculated as of the applicable Fixed Purchase Date), such Fixed Purchase Notice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to the extent of the amount by which the Fixed Purchase Share Amount set forth in such Fixed Purchase Notice exceeds such applicable Fixed Purchase Maximum Amount, and the Investor shall have no obligation to purchase such excess Shares in respect of such Fixed Purchase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Investor shall remain obligated to purchase the applicable Fixed Purchase Maximum Amount in such Fixed Purchase. The Company may deliver a Fixed Purchase Notice, in the Form </w:t>
      </w:r>
      <w:r>
        <w:rPr>
          <w:rFonts w:ascii="Times New Roman" w:cs="Times New Roman" w:eastAsia="Times New Roman" w:hAnsi="Times New Roman"/>
          <w:sz w:val="18"/>
          <w:szCs w:val="18"/>
          <w:u w:val="single" w:color="auto"/>
          <w:color w:val="auto"/>
        </w:rPr>
        <w:t>attached hereto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6242050</wp:posOffset>
            </wp:positionH>
            <wp:positionV relativeFrom="paragraph">
              <wp:posOffset>-168910</wp:posOffset>
            </wp:positionV>
            <wp:extent cx="5613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1340" cy="8255"/>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61" w:name="page62"/>
    <w:bookmarkEnd w:id="61"/>
    <w:p>
      <w:pPr>
        <w:jc w:val="both"/>
        <w:ind w:right="20"/>
        <w:spacing w:after="0" w:line="25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2.1,</w:t>
      </w:r>
      <w:r>
        <w:rPr>
          <w:rFonts w:ascii="Times New Roman" w:cs="Times New Roman" w:eastAsia="Times New Roman" w:hAnsi="Times New Roman"/>
          <w:sz w:val="18"/>
          <w:szCs w:val="18"/>
          <w:color w:val="auto"/>
        </w:rPr>
        <w:t xml:space="preserve"> to the Investor as often as every third Trading Day, so long as the VWAP of the Common Stock on the Trading Day immediately preceding the intended Fixed Purchase Date is not the lowest VWAP of the Common Stock over the ten Trading Day period immediately preceding such intended Fixed Purchase Date and (i) the Closing Sale Price of the Common Stock on such Trading Day is not less than the Floor Price and (ii) all Shares subject to all prior Fixed Purchase Notices, VWAP Purchase Notices and Additional VWAP Purchase Notices (as applicable) have theretofore been received by the Investor as DWAC Shares. Since delivery of a Fixed Purchase Notice is made by the Company after market close on the applicable Fixed Purchase Date, the Fixed Purchase Price is determined and fixed at the time the Company delivers the Fixed Purchase to the Investor.</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VWAP Purchases</w:t>
      </w:r>
      <w:r>
        <w:rPr>
          <w:rFonts w:ascii="Times New Roman" w:cs="Times New Roman" w:eastAsia="Times New Roman" w:hAnsi="Times New Roman"/>
          <w:sz w:val="18"/>
          <w:szCs w:val="18"/>
          <w:color w:val="auto"/>
        </w:rPr>
        <w:t>. Upon the initial satisfaction of all of the conditions set forth in set forth in Section 6.2, on the Commencement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and from time to time thereafter, and on any business day selected by the Company where the Closing Sale Price on the Eligible Market is equal to or greater than the Floor Price, subject to the satisfaction of all of the conditions set forth in Section 6.3, in addition to purchases of Shares as described in Section 2.1, the Company shall also have the right, but not the obligation, to direct the Investor, by its delivery to the Investor of a VWAP Purchase Notice, to purchase the applicable VWAP Purchase Share Amount, not to exceed the applicable VWAP Purchase Maximum Amount, at the applicable VWAP Purchase Price therefor on the applicable VWAP Purchase Date in accordance with this Agreement (each such purchase, a “</w:t>
      </w:r>
      <w:r>
        <w:rPr>
          <w:rFonts w:ascii="Times New Roman" w:cs="Times New Roman" w:eastAsia="Times New Roman" w:hAnsi="Times New Roman"/>
          <w:sz w:val="18"/>
          <w:szCs w:val="18"/>
          <w:b w:val="1"/>
          <w:bCs w:val="1"/>
          <w:i w:val="1"/>
          <w:iCs w:val="1"/>
          <w:color w:val="auto"/>
        </w:rPr>
        <w:t>VWAP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Investor’s aggregate committed obligation under a VWAP Purchase and all Additional VWAP Purchases shall not exceed $4,500,000 in the aggregate for such VWAP Purchase and all such Additional VWAP Purchases on such VWAP Purchase Date, collectively. The Company may deliver a VWAP Purchase Notice, in the Form attached hereto as Annex 2.2, to the Investor only (i) on a Trading Day on which the Company also properly submitted a Fixed Purchase Notice providing for a Fixed Purchase of an amount of Shares not less than the applicable Fixed Purchase Maximum Amount (calculated as of the applicable Fixed Purchase Date) and (ii) if all Shares subject to all prior Fixed Purchase Notices, VWAP Purchase Notices, and Additional VWAP Purchase Notices (as applicable) have theretofore been received by the Investor as DWAC Shares. The Investor is obligated to accept each VWAP Purchase Notice prepared and delivered by the Company in accordance with the terms of and subject to the satisfaction of the conditions contained in this Agreement. If the Company delivers any VWAP Purchase Notice directing the Investor to purchase a VWAP Purchase Share Amount in excess of the applicable VWAP Purchase Maximum Amount that the Company is then permitted to include in such VWAP Purchase Notice, such VWAP Purchase Notice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to the extent of the amount by which the VWAP Purchase Share Amount set forth in such VWAP Purchase Notice exceeds such applicable VWAP Purchase Maximum Amount, and the Investor shall have no obligation to purchase such excess Shares in respect of such VWAP Purchase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Investor shall remain obligated to purchase the applicable VWAP Purchase Maximum Amount in such VWAP Purchase at or prior to 9:30 a.m., New York City time, on the Trading Day immediately following the VWAP Purchase Date for each VWAP Purchase, the Investor shall provide to the Company a written confirmation of such VWAP Purchase setting forth the applicable VWAP Purchase Share Amount and VWAP Purchase Price for such VWAP Purchase (each, a “</w:t>
      </w:r>
      <w:r>
        <w:rPr>
          <w:rFonts w:ascii="Times New Roman" w:cs="Times New Roman" w:eastAsia="Times New Roman" w:hAnsi="Times New Roman"/>
          <w:sz w:val="18"/>
          <w:szCs w:val="18"/>
          <w:b w:val="1"/>
          <w:bCs w:val="1"/>
          <w:i w:val="1"/>
          <w:iCs w:val="1"/>
          <w:color w:val="auto"/>
        </w:rPr>
        <w:t>VWAP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Confirmation</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62" w:name="page63"/>
    <w:bookmarkEnd w:id="62"/>
    <w:p>
      <w:pPr>
        <w:ind w:firstLine="440"/>
        <w:spacing w:after="0" w:line="251"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2.3. </w:t>
      </w:r>
      <w:r>
        <w:rPr>
          <w:rFonts w:ascii="Times New Roman" w:cs="Times New Roman" w:eastAsia="Times New Roman" w:hAnsi="Times New Roman"/>
          <w:sz w:val="18"/>
          <w:szCs w:val="18"/>
          <w:b w:val="1"/>
          <w:bCs w:val="1"/>
          <w:u w:val="single" w:color="auto"/>
          <w:color w:val="auto"/>
        </w:rPr>
        <w:t>Additional VWAP Purchases</w:t>
      </w:r>
      <w:r>
        <w:rPr>
          <w:rFonts w:ascii="Times New Roman" w:cs="Times New Roman" w:eastAsia="Times New Roman" w:hAnsi="Times New Roman"/>
          <w:sz w:val="18"/>
          <w:szCs w:val="18"/>
          <w:color w:val="auto"/>
        </w:rPr>
        <w:t>. Upon the initial satisfaction of all of the conditions set forth in set forth in Section 6.3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Commencement Date and from time to time thereafter, subject to the satisfaction of all of the conditions set forth in Section 6.3, in addition to purchases of Shares as described in Section 2.1 and Section 2.2, the Company shall also have the right, but not the obligation, to direct the Investor, by its delivery to the Investor of an Additional VWAP Purchase Notice, to purchase the applicable Additional VWAP Purchase Share Amount, not to exceed the applicable Additional VWAP Purchase Maximum Amount, at the applicable Additional VWAP Purchase Price therefor on the applicable Additional VWAP Purchase Date in accordance with this Agreement (each such purchase, an “</w:t>
      </w:r>
      <w:r>
        <w:rPr>
          <w:rFonts w:ascii="Times New Roman" w:cs="Times New Roman" w:eastAsia="Times New Roman" w:hAnsi="Times New Roman"/>
          <w:sz w:val="18"/>
          <w:szCs w:val="18"/>
          <w:b w:val="1"/>
          <w:bCs w:val="1"/>
          <w:i w:val="1"/>
          <w:iCs w:val="1"/>
          <w:color w:val="auto"/>
        </w:rPr>
        <w:t>Additional VWAP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Investor’s aggregate committed obligation under a VWAP Purchase and all Additional VWAP Purchases on the applicable Additional VWAP Purchase Date, which Additional VWAP Purchase Date shall be the same Trading Day as the applicable VWAP Purchase Date for such VWAP Purchase, shall not exceed $4,500,000 in the aggregate for such VWAP Purchase and all such Additional VWAP Purchases, collectively. The Company may deliver an Additional VWAP Purchase Notice, in the Form attached hereto as Annex 2.3, to the Investor only (i) on a Trading Day that is also the VWAP Purchase Date for a VWAP Purchase with respect to which the Company properly submitted to the Investor a VWAP Purchase Notice in accordance with this Agreement on the applicable Fixed Purchase Date for a Fixed Purchase of an amount of Shares not less than the applicable Fixed Purchase Maximum Amount (calculated as of the applicable Fixed Purchase Date) and (ii) if all Shares subject to all prior Fixed Purchase Notices, VWAP Purchase Notices, and Additional VWAP Purchase Notices, including, without limitation, all prior VWAP Purchases and Additional VWAP Purchases effected on the same Trading Day as the Additional VWAP Purchase Date on which the applicable Additional VWAP Purchase is to be effected, as applicable, have theretofore been received by the Investor as DWAC Shares. The Investor is obligated to accept each Additional VWAP Purchase Notice prepared and delivered by the Company in accordance with the terms of and subject to the satisfaction of the conditions contained in this Agreement. If the Company delivers any Additional VWAP Purchase Notice directing the Investor to purchase an Additional VWAP Purchase Share Amount in excess of the applicable Additional VWAP Purchase Maximum Amount that the Company is then permitted to include in such Additional VWAP Purchase Notice, such Additional VWAP Purchase Notice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to the extent of the amount by which the Additional VWAP Purchase Share Amount set forth in such Additional VWAP Purchase Notice exceeds such applicable Additional VWAP Purchase Maximum Amount, and the Investor shall have no obligation to purchase such excess Shares in respect of such Additional VWAP Purchase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Investor shall remain obligated to purchase the applicable Additional VWAP Purchase Maximum Amount in such Additional VWAP Purchase At or prior to 9:30 a.m., New York City time, on the Trading Day immediately following the Additional VWAP Purchase Date for each Additional VWAP Purchase, the Investor shall provide to the Company a written confirmation of such Additional VWAP Purchase setting forth the applicable Additional VWAP Purchase Share Amount and Additional VWAP Purchase Price for such Additional VWAP Purchase (each, an “</w:t>
      </w:r>
      <w:r>
        <w:rPr>
          <w:rFonts w:ascii="Times New Roman" w:cs="Times New Roman" w:eastAsia="Times New Roman" w:hAnsi="Times New Roman"/>
          <w:sz w:val="18"/>
          <w:szCs w:val="18"/>
          <w:b w:val="1"/>
          <w:bCs w:val="1"/>
          <w:i w:val="1"/>
          <w:iCs w:val="1"/>
          <w:color w:val="auto"/>
        </w:rPr>
        <w:t>Additional VWAP Purchase Confirmation</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Compliance with Rules of Trading Market.</w:t>
      </w:r>
    </w:p>
    <w:p>
      <w:pPr>
        <w:spacing w:after="0" w:line="117" w:lineRule="exact"/>
        <w:rPr>
          <w:sz w:val="20"/>
          <w:szCs w:val="20"/>
          <w:color w:val="auto"/>
        </w:rPr>
      </w:pPr>
    </w:p>
    <w:p>
      <w:pPr>
        <w:ind w:right="380" w:firstLine="991"/>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not issue or sell any shares of Common Stock pursuant to this Agreement if such issuance or sale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be expected to result in (A) a violation of the Securities Act or (B) a breach of the rules of the Trading Market. The provisions of this Section 2.4 shall be implemented in a manner otherwise than in strict conformity with the terms of this Section 2.4 only if necessary to ensure compliance with the Securities Act and the applicable rules of the Trading Market.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63" w:name="page64"/>
    <w:bookmarkEnd w:id="63"/>
    <w:p>
      <w:pPr>
        <w:ind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2.5. </w:t>
      </w:r>
      <w:r>
        <w:rPr>
          <w:rFonts w:ascii="Times New Roman" w:cs="Times New Roman" w:eastAsia="Times New Roman" w:hAnsi="Times New Roman"/>
          <w:sz w:val="18"/>
          <w:szCs w:val="18"/>
          <w:b w:val="1"/>
          <w:bCs w:val="1"/>
          <w:u w:val="single" w:color="auto"/>
          <w:color w:val="auto"/>
        </w:rPr>
        <w:t>Beneficial Ownership Limitation</w:t>
      </w:r>
      <w:r>
        <w:rPr>
          <w:rFonts w:ascii="Times New Roman" w:cs="Times New Roman" w:eastAsia="Times New Roman" w:hAnsi="Times New Roman"/>
          <w:sz w:val="18"/>
          <w:szCs w:val="18"/>
          <w:color w:val="auto"/>
        </w:rPr>
        <w:t>. Notwithstanding anything to the contrary contained in this Agreement,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issue or sell, and the Investor shall not purchase or acquire, any shares of Common Stock under this Agreement which, when aggregated with all other shares of Common Stock then beneficially owned by the Investor and its Affiliates (as calculated pursuant to Section 13(d) of the Exchange Act and Rule 13d-3 promulgated thereunder), would result in the beneficial ownership by the Investor of more than 4.99% of the outstanding shares of Common Stock (the “</w:t>
      </w:r>
      <w:r>
        <w:rPr>
          <w:rFonts w:ascii="Times New Roman" w:cs="Times New Roman" w:eastAsia="Times New Roman" w:hAnsi="Times New Roman"/>
          <w:sz w:val="18"/>
          <w:szCs w:val="18"/>
          <w:b w:val="1"/>
          <w:bCs w:val="1"/>
          <w:i w:val="1"/>
          <w:iCs w:val="1"/>
          <w:color w:val="auto"/>
        </w:rPr>
        <w:t>Beneficial Ownership Limitation</w:t>
      </w:r>
      <w:r>
        <w:rPr>
          <w:rFonts w:ascii="Times New Roman" w:cs="Times New Roman" w:eastAsia="Times New Roman" w:hAnsi="Times New Roman"/>
          <w:sz w:val="18"/>
          <w:szCs w:val="18"/>
          <w:color w:val="auto"/>
        </w:rPr>
        <w:t>”). Upon the written or oral request of the Investor, the Company shall promptly (but not later than the next business day on which the Transfer Agent is open for business) confirm orally or in writing to the Investor the number of shares of Common Stock outstanding as of the most recent date for which the Transfer Agent has such information. The Investor and the Company shall each cooperate in good faith in the determinations required under this Section 2.5 and the application of this Section 2.5. The Investor’s written certification to the Company of the applicability of the Beneficial Ownership Limitation, and the resulting effect thereof hereunder at any time, shall be conclusive with respect to the applicability thereof and such result absent manifest error. The provisions of this Section 2.5 shall be construed and implemented in a manner otherwise than in strict conformity with the terms of this Section 2.5 to the extent necessary to properly give effect to the limitations contained in this Section 2.5.</w:t>
      </w:r>
    </w:p>
    <w:p>
      <w:pPr>
        <w:spacing w:after="0" w:line="19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Commitment Shares</w:t>
      </w:r>
      <w:r>
        <w:rPr>
          <w:rFonts w:ascii="Times New Roman" w:cs="Times New Roman" w:eastAsia="Times New Roman" w:hAnsi="Times New Roman"/>
          <w:sz w:val="18"/>
          <w:szCs w:val="18"/>
          <w:color w:val="auto"/>
        </w:rPr>
        <w:t>. In consideration for the Investor’s execution and delivery of this Agreement, the Company shall issue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Commitment Shares to the Investor or its designee not later than 4:00 p.m. (New York City time) on the Effective Date. The Commitment Shares shall be included in the Registration Statement. For the avoidance of doubt, all of the Commitment Shares shall be fully earned as of the Closing Date, regardless of whether any Fixed Purchases or VWAP Purchases are effected hereunder and regardless of any subsequent termination of this Agreement;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in the event the issuance of the Commitment Shares to the Investor would result in the Investor exceeding the Beneficial Ownership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 then any such Commitment Shares in excess of the Beneficial Ownership Limitation shall be held in abeyance for the Investor until such time, if ever, as its rights thereto would not result in the Investor exceeding the Beneficial Ownership Limitation.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WARRANTIES AND COVENANTS OF THE INVESTOR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Investor hereby makes the following representations, warranties and covenants to the Company:</w:t>
      </w:r>
    </w:p>
    <w:p>
      <w:pPr>
        <w:spacing w:after="0" w:line="22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Organization and Standing of the Investor</w:t>
      </w:r>
      <w:r>
        <w:rPr>
          <w:rFonts w:ascii="Times New Roman" w:cs="Times New Roman" w:eastAsia="Times New Roman" w:hAnsi="Times New Roman"/>
          <w:sz w:val="18"/>
          <w:szCs w:val="18"/>
          <w:color w:val="auto"/>
        </w:rPr>
        <w:t>. The Investor is a limited liability company duly organized, validly existing and in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standing under the laws of the State of Nevada.</w:t>
      </w:r>
    </w:p>
    <w:p>
      <w:pPr>
        <w:spacing w:after="0" w:line="15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Authorization and Power</w:t>
      </w:r>
      <w:r>
        <w:rPr>
          <w:rFonts w:ascii="Times New Roman" w:cs="Times New Roman" w:eastAsia="Times New Roman" w:hAnsi="Times New Roman"/>
          <w:sz w:val="18"/>
          <w:szCs w:val="18"/>
          <w:color w:val="auto"/>
        </w:rPr>
        <w:t>. The Investor has the requisite limited liability company power and authority to enter into and perform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under this Agreement and the Registration Rights Agreement and to purchase or acquire the Securities in accordance with</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6" w:right="479" w:bottom="1440" w:gutter="0" w:footer="0" w:header="0"/>
        </w:sectPr>
      </w:pPr>
    </w:p>
    <w:bookmarkStart w:id="64" w:name="page65"/>
    <w:bookmarkEnd w:id="64"/>
    <w:p>
      <w:pPr>
        <w:ind w:right="1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terms hereof. The execution, delivery and performance by the Investor of this Agreement and the Registration Rights Agreement and the consummation by it of the transactions contemplated hereby and thereby have been duly authorized by all necessary limited liability company action, and no further consent or authorization of the Investor, its Board of Directors or its members is required. Each of this Agreement and the Registration Rights Agreement has been duly executed and delivered by the Investor and constitutes a valid and binding obligation of the Investor enforceable against it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 (including any limitation of equitable remedies).</w:t>
      </w:r>
    </w:p>
    <w:p>
      <w:pPr>
        <w:spacing w:after="0" w:line="18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No Conflicts</w:t>
      </w:r>
      <w:r>
        <w:rPr>
          <w:rFonts w:ascii="Times New Roman" w:cs="Times New Roman" w:eastAsia="Times New Roman" w:hAnsi="Times New Roman"/>
          <w:sz w:val="18"/>
          <w:szCs w:val="18"/>
          <w:color w:val="auto"/>
        </w:rPr>
        <w:t>. The execution, delivery and performance by the Investor of this Agreement and the Registration Rights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consummation by the Investor of the transactions contemplated hereby and thereby do not and shall not (i) result in a violation of such Investor’s certificate of formation, limited liability company agreement or other applicable organizational instruments, (ii) conflict with, constitute a default (or an event which, with notice or lapse of time or both, would become a default) under, or give rise to any rights of termination, amendment, acceleration or cancellation of, any material agreement, mortgage, deed of trust, indenture, note, bond, license, lease agreement, instrument or obligation to which the Investor is a party or is bound, (iii) create or impose any lien, charge or encumbrance on any property of the Investor under any agreement or any commitment to which the Investor is party or under which the Investor is bound or under which any of its properties or assets are bound, or (iv) result in a violation of any federal, state, local or foreign statute, rule, or regulation, or any order, judgment or decree of any court or governmental agency applicable to the Investor or by which any of its properties or assets are bound or affected, except, in the case of clauses (ii), (iii) and (iv), for such conflicts, defaults, terminations, amendments, acceleration, cancellations and violations as would not, individually or in the aggregate, prohibit or otherwise interfere with, in any material respect, the ability of the Investor to enter into and perform its obligations under this Agreement and the Registration Rights Agreement. The Investor is not required under any applicable federal, state, local or foreign law, rule or regulation to obtain any consent, authorization or order of, or make any filing or registration with, any court or governmental agency in order for it to execute, deliver or perform any of its obligations under this Agreement and the Registration Rights Agreement or to purchase or acquire the Securities in accordance with the terms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the representation made in this sentence, the Investor is assuming and relying upon the accuracy of the relevant representations and warranties and the compliance with the relevant covenants and agreements of the Company in the Transaction Documents to which it is a party.</w:t>
      </w:r>
    </w:p>
    <w:p>
      <w:pPr>
        <w:spacing w:after="0" w:line="19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Investment Purpose</w:t>
      </w:r>
      <w:r>
        <w:rPr>
          <w:rFonts w:ascii="Times New Roman" w:cs="Times New Roman" w:eastAsia="Times New Roman" w:hAnsi="Times New Roman"/>
          <w:sz w:val="18"/>
          <w:szCs w:val="18"/>
          <w:color w:val="auto"/>
        </w:rPr>
        <w:t>. The Investor is acquiring the Securities for its own account, for investment purposes and not with a view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towards, or for resale in connection with, the public sale or distribution thereof, except pursuant to sales registered under or exempt from the registration requirements of the Securities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by making the representations herein, the Investor does not agree, or make any representation or warranty, to hold any of the Securities for any minimum or other specific term and reserves the right to dispose of the Securities at any time in accordance with, or pursuant to, a registration statement filed pursuant to the Registration Rights Agreement or an applicable exemption under the Securities Act. The Investor does not presently have any agreement or understanding, directly or indirectly, with any Person to sell or distribute any of the Securities.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65" w:name="page66"/>
    <w:bookmarkEnd w:id="65"/>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3.5. </w:t>
      </w:r>
      <w:r>
        <w:rPr>
          <w:rFonts w:ascii="Times New Roman" w:cs="Times New Roman" w:eastAsia="Times New Roman" w:hAnsi="Times New Roman"/>
          <w:sz w:val="18"/>
          <w:szCs w:val="18"/>
          <w:b w:val="1"/>
          <w:bCs w:val="1"/>
          <w:u w:val="single" w:color="auto"/>
          <w:color w:val="auto"/>
        </w:rPr>
        <w:t>Accredited Investor Status</w:t>
      </w:r>
      <w:r>
        <w:rPr>
          <w:rFonts w:ascii="Times New Roman" w:cs="Times New Roman" w:eastAsia="Times New Roman" w:hAnsi="Times New Roman"/>
          <w:sz w:val="18"/>
          <w:szCs w:val="18"/>
          <w:color w:val="auto"/>
        </w:rPr>
        <w:t>. The Investor is an “accredited investor” as that term is defined in Rule 501(a) of Regulation D.</w:t>
      </w:r>
    </w:p>
    <w:p>
      <w:pPr>
        <w:spacing w:after="0" w:line="22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Reliance on Exemptions</w:t>
      </w:r>
      <w:r>
        <w:rPr>
          <w:rFonts w:ascii="Times New Roman" w:cs="Times New Roman" w:eastAsia="Times New Roman" w:hAnsi="Times New Roman"/>
          <w:sz w:val="18"/>
          <w:szCs w:val="18"/>
          <w:color w:val="auto"/>
        </w:rPr>
        <w:t>. The Investor understands that the Securities are being offered and sold to it in reliance on specific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exemptions from the registration requirements of U.S. federal and state securities laws and that the Company is relying upon the truth and accuracy of, and the Investor’s compliance with, the representations, warranties, agreements, acknowledgments and understandings of the Investor set forth herein in order to determine the availability of such exemptions and the eligibility of the Investor to acquire the Securities.</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3.7. </w:t>
      </w:r>
      <w:r>
        <w:rPr>
          <w:rFonts w:ascii="Times New Roman" w:cs="Times New Roman" w:eastAsia="Times New Roman" w:hAnsi="Times New Roman"/>
          <w:sz w:val="18"/>
          <w:szCs w:val="18"/>
          <w:b w:val="1"/>
          <w:bCs w:val="1"/>
          <w:u w:val="single" w:color="auto"/>
          <w:color w:val="auto"/>
        </w:rPr>
        <w:t>Information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materials relating to the business, financial condition, management and operations of the Company and materials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the offer and sale of the Securities which have been requested by the Investor have been furnished or otherwise made available to the Investor or its advisors, including, without limitation, the Commission Documents. The Investor understands that its investment in the Securities involves a high degree of risk. The Investor is able to bear the economic risk of an investment in the Securities and has such knowledge and experience in financial and business matters that it is capable of evaluating the merits and risks of a proposed investment in the Securities. The Investor and its advisors have been afforded the opportunity to ask questions of and receive answers from representatives of the Company concerning the financial condition and business of the Company and other matters relating to an investment in the Securities. Neither such inquiries nor any other due diligence investigations conducted by the Investor or its advisors, if any, or its representatives shall modify, amend or affect the Investor’s right to rely on the Company’s representations and warranties contained in this Agreement or in any other Transaction Document to which the Company is a party or the Investor’s right to rely on any other document or instrument executed and/or delivered in connection with this Agreement or the consummation of the transaction contemplated hereby (including, without limitation, the opinions of the Company’s counsel delivered pursuant to Section 6.2(xvi)). The Investor has sought such accounting, legal and tax advice as it has considered necessary to make an informed investment decision with respect to its acquisition of the Securities. The Investor understands that it (and not the Company) shall be responsible for its own tax liabilities that may arise as a result of this investment or the transactions contemplated by this Agreement.</w:t>
      </w:r>
    </w:p>
    <w:p>
      <w:pPr>
        <w:spacing w:after="0" w:line="18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3.8. </w:t>
      </w:r>
      <w:r>
        <w:rPr>
          <w:rFonts w:ascii="Times New Roman" w:cs="Times New Roman" w:eastAsia="Times New Roman" w:hAnsi="Times New Roman"/>
          <w:sz w:val="18"/>
          <w:szCs w:val="18"/>
          <w:b w:val="1"/>
          <w:bCs w:val="1"/>
          <w:u w:val="single" w:color="auto"/>
          <w:color w:val="auto"/>
        </w:rPr>
        <w:t>No Governmental Review</w:t>
      </w:r>
      <w:r>
        <w:rPr>
          <w:rFonts w:ascii="Times New Roman" w:cs="Times New Roman" w:eastAsia="Times New Roman" w:hAnsi="Times New Roman"/>
          <w:sz w:val="18"/>
          <w:szCs w:val="18"/>
          <w:color w:val="auto"/>
        </w:rPr>
        <w:t>. The Investor understands that no United States federal or state agency or any other government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171"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3.9. </w:t>
      </w:r>
      <w:r>
        <w:rPr>
          <w:rFonts w:ascii="Times New Roman" w:cs="Times New Roman" w:eastAsia="Times New Roman" w:hAnsi="Times New Roman"/>
          <w:sz w:val="18"/>
          <w:szCs w:val="18"/>
          <w:b w:val="1"/>
          <w:bCs w:val="1"/>
          <w:u w:val="single" w:color="auto"/>
          <w:color w:val="auto"/>
        </w:rPr>
        <w:t>No General Solicitation</w:t>
      </w:r>
      <w:r>
        <w:rPr>
          <w:rFonts w:ascii="Times New Roman" w:cs="Times New Roman" w:eastAsia="Times New Roman" w:hAnsi="Times New Roman"/>
          <w:sz w:val="18"/>
          <w:szCs w:val="18"/>
          <w:color w:val="auto"/>
        </w:rPr>
        <w:t>. The Investor is not purchasing or acquiring the Securities as a result of any form of general solicitation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advertising (within the meaning of Regulation D) in connection with the offer or sale of the Securities.</w:t>
      </w:r>
    </w:p>
    <w:p>
      <w:pPr>
        <w:spacing w:after="0" w:line="155"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3.10. </w:t>
      </w:r>
      <w:r>
        <w:rPr>
          <w:rFonts w:ascii="Times New Roman" w:cs="Times New Roman" w:eastAsia="Times New Roman" w:hAnsi="Times New Roman"/>
          <w:sz w:val="18"/>
          <w:szCs w:val="18"/>
          <w:b w:val="1"/>
          <w:bCs w:val="1"/>
          <w:u w:val="single" w:color="auto"/>
          <w:color w:val="auto"/>
        </w:rPr>
        <w:t>Not an Affiliate</w:t>
      </w:r>
      <w:r>
        <w:rPr>
          <w:rFonts w:ascii="Times New Roman" w:cs="Times New Roman" w:eastAsia="Times New Roman" w:hAnsi="Times New Roman"/>
          <w:sz w:val="18"/>
          <w:szCs w:val="18"/>
          <w:color w:val="auto"/>
        </w:rPr>
        <w:t>. The Investor is not an officer, director or an Affiliate of the Company. As of the date of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Investor does not beneficially own any shares of Common Stock or securities exercisable for or convertible into shares of Common Stock, and during the Restricted Period, Investor will not acquire beneficial ownership of any shares of the Company’s capital stock (including shares of Common Stock or securities exercisable for or convertible into shares of Common Stock) other than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Agreement shall prohibit or be deemed to prohibit the Investor from purchasing, in an open market transaction or otherwise, shares of Common Stock necessary to</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66" w:name="page67"/>
    <w:bookmarkEnd w:id="6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delivery by the Investor in satisfaction of a sale by the Investor of Shares that the Investor anticipated receiving from the Company in connection with the settlement of a Fixed Purchase, VWAP Purchase or Additional VWAP Purchase, as applicable, if the Company or the Transfer Agent shall have failed for any reason to electronically transfer all of the Shares subject to such Fixed Purchase, VWAP Purchase or Additional VWAP Purchase, as applicable, to the Investor by crediting the Investor’s or its designated Broker-Dealer’s account at DTC through its DWAC delivery system, at or prior to the applicable time required by and otherwise in compliance with Section 2.4 of this Agreement.</w:t>
      </w:r>
    </w:p>
    <w:p>
      <w:pPr>
        <w:spacing w:after="0" w:line="179" w:lineRule="exact"/>
        <w:rPr>
          <w:sz w:val="20"/>
          <w:szCs w:val="20"/>
          <w:color w:val="auto"/>
        </w:rPr>
      </w:pPr>
    </w:p>
    <w:p>
      <w:pPr>
        <w:jc w:val="both"/>
        <w:ind w:right="4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Section 3.11. </w:t>
      </w:r>
      <w:r>
        <w:rPr>
          <w:rFonts w:ascii="Times New Roman" w:cs="Times New Roman" w:eastAsia="Times New Roman" w:hAnsi="Times New Roman"/>
          <w:sz w:val="17"/>
          <w:szCs w:val="17"/>
          <w:b w:val="1"/>
          <w:bCs w:val="1"/>
          <w:u w:val="single" w:color="auto"/>
          <w:color w:val="auto"/>
        </w:rPr>
        <w:t>No Prior Short Sales</w:t>
      </w:r>
      <w:r>
        <w:rPr>
          <w:rFonts w:ascii="Times New Roman" w:cs="Times New Roman" w:eastAsia="Times New Roman" w:hAnsi="Times New Roman"/>
          <w:sz w:val="17"/>
          <w:szCs w:val="17"/>
          <w:color w:val="auto"/>
        </w:rPr>
        <w:t>. At no time prior to the date of this Agreement has any of the Investor, its agents, representatives or Affiliates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engaged in or effected, in any manner whatsoever, directly or indirectly, any (i) “short sale” (as such term is defined in Rule 200 of Regulation SHO of the Exchange Act) of the Common Stock or (ii) hedging transaction, which establishes a net short position with respect to the Common Stock.</w:t>
      </w:r>
    </w:p>
    <w:p>
      <w:pPr>
        <w:spacing w:after="0" w:line="153"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3.12. </w:t>
      </w:r>
      <w:r>
        <w:rPr>
          <w:rFonts w:ascii="Times New Roman" w:cs="Times New Roman" w:eastAsia="Times New Roman" w:hAnsi="Times New Roman"/>
          <w:sz w:val="18"/>
          <w:szCs w:val="18"/>
          <w:b w:val="1"/>
          <w:bCs w:val="1"/>
          <w:u w:val="single" w:color="auto"/>
          <w:color w:val="auto"/>
        </w:rPr>
        <w:t>Statutory Underwriter Status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Investor acknowledges that it will be disclosed as an “underwriter” and a “selling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Registration Statement and in any Prospectus contained therein to the extent required by applicable law.</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WARRANTIES AND COVENANTS OF THE COMPANY</w:t>
      </w:r>
    </w:p>
    <w:p>
      <w:pPr>
        <w:spacing w:after="0" w:line="207"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Except as set forth in the disclosure schedule delivered by the Company to the Investor (which is hereby incorporated by reference in, and constitutes an integral part of, this Agreement) (the “</w:t>
      </w:r>
      <w:r>
        <w:rPr>
          <w:rFonts w:ascii="Times New Roman" w:cs="Times New Roman" w:eastAsia="Times New Roman" w:hAnsi="Times New Roman"/>
          <w:sz w:val="18"/>
          <w:szCs w:val="18"/>
          <w:b w:val="1"/>
          <w:bCs w:val="1"/>
          <w:i w:val="1"/>
          <w:iCs w:val="1"/>
          <w:color w:val="auto"/>
        </w:rPr>
        <w:t>Disclosure Schedule</w:t>
      </w:r>
      <w:r>
        <w:rPr>
          <w:rFonts w:ascii="Times New Roman" w:cs="Times New Roman" w:eastAsia="Times New Roman" w:hAnsi="Times New Roman"/>
          <w:sz w:val="18"/>
          <w:szCs w:val="18"/>
          <w:color w:val="auto"/>
        </w:rPr>
        <w:t>”), the Company hereby makes the following representations, warranties and covenants to the Investor:</w:t>
      </w:r>
    </w:p>
    <w:p>
      <w:pPr>
        <w:spacing w:after="0" w:line="17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Organization, Good Standing and Power</w:t>
      </w:r>
      <w:r>
        <w:rPr>
          <w:rFonts w:ascii="Times New Roman" w:cs="Times New Roman" w:eastAsia="Times New Roman" w:hAnsi="Times New Roman"/>
          <w:sz w:val="18"/>
          <w:szCs w:val="18"/>
          <w:color w:val="auto"/>
        </w:rPr>
        <w:t>. The Company and each of the Subsidiaries is an entity duly incorporated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a Material Adverse Effect and no proceeding has been instituted in any such jurisdiction revoking, limiting or curtailing or seeking to revoke, limit or curtail such power and authority or qualification.</w:t>
      </w:r>
    </w:p>
    <w:p>
      <w:pPr>
        <w:spacing w:after="0" w:line="188"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Authorization, Enforcement</w:t>
      </w:r>
      <w:r>
        <w:rPr>
          <w:rFonts w:ascii="Times New Roman" w:cs="Times New Roman" w:eastAsia="Times New Roman" w:hAnsi="Times New Roman"/>
          <w:sz w:val="18"/>
          <w:szCs w:val="18"/>
          <w:color w:val="auto"/>
        </w:rPr>
        <w:t>. Each of the Company and its Subsidiaries has the requisite corporate or other power and authority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 into and perform its obligations under each of the Transaction Documents to which it is a party and, in the case of the Company, to issue the Securities in accordance with the terms hereof and thereof. Except for approvals of the Company’s Board of Directors or a committee thereof as may be required in connection with any issuance and sale of Shares to the Investor hereunder (which approvals shall be obtained prior to</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67" w:name="page68"/>
    <w:bookmarkEnd w:id="6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delivery of any Fixed Purchase Notice, any VWAP Purchase Notice and any Additional VWAP Purchase Notice), the execution, delivery and performance by the Company of each of the Transaction Documents to which it is a party and the consummation by it of the transactions contemplated hereby and thereby have been duly and validly authorized by all necessary corporate or other action (as applicable) on the part of the Company, and no further consent or authorization of the Company or its Board of Directors or its stockholders, or any other Person is required in order for the Company to execute, deliver and perform its respective obligations under the Transaction Documents to which it is a party. Each of the Transaction Documents to which the Company is a party has been duly executed and delivered by the Company and constitutes a valid and binding obligation of the Company enforceable against the Company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 (including any limitation of equitable remedies).</w:t>
      </w:r>
    </w:p>
    <w:p>
      <w:pPr>
        <w:spacing w:after="0" w:line="184"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Capitalization</w:t>
      </w:r>
      <w:r>
        <w:rPr>
          <w:rFonts w:ascii="Times New Roman" w:cs="Times New Roman" w:eastAsia="Times New Roman" w:hAnsi="Times New Roman"/>
          <w:sz w:val="18"/>
          <w:szCs w:val="18"/>
          <w:color w:val="auto"/>
        </w:rPr>
        <w:t>. All of the outstanding shares of capital stock of the Company and each of its Subsidiaries have been duly and validly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and issued and are fully paid and non-assessable, and, except as otherwise set forth in the Commission Documents, all outstanding shares of capital stock or membership interests of the Subsidiaries are owned by the Company either directly or through wholly owned Subsidiaries and are free and clear of any perfected security interest or any other security interests, claims, liens or encumbrances. Except as set forth in the Commission Documents and this Agreement, there are no agreements or arrangements under which the Company is obligated to register the sale of any securities under the Securities Act. Except as set forth in the Commission Documents, no shares of capital stock of the Company are entitled to preemptive rights and there are no outstanding debt securities and no contracts, commitments, understandings, or arrangements by which the Company is or may become bound to issue additional shares of the capital stock of the Company or options, warrants, scrip, rights to subscribe to, calls or commitments of any character whatsoever relating to, or securities or rights convertible into or exchangeable for, any shares of capital stock of the Company other than those issued or granted in the ordinary course of business pursuant to the Company’s equity incentive and/or compensatory plans or arrangements. Except for customary transfer restrictions contained in agreements entered into by the Company to sell restricted securities or as set forth in the Commission Documents, the Company is not a party to, and it has no Knowledge of, any agreement restricting the voting or transfer of any shares of the capital stock of the Company. Except as set forth in the Commission Documents, there are no securities or instruments containing anti-dilution or similar provisions that will be triggered by this Agreement or any of the other Transaction Documents or the consummation of the transactions described herein or therein. The Company has made available via EDGAR true and correct copies of the Company’s Certificate of Incorporation as in effect on the Commencement Date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and the Company’s Bylaws as in effect on the Commencement Date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Issuance of Securities</w:t>
      </w:r>
      <w:r>
        <w:rPr>
          <w:rFonts w:ascii="Times New Roman" w:cs="Times New Roman" w:eastAsia="Times New Roman" w:hAnsi="Times New Roman"/>
          <w:sz w:val="18"/>
          <w:szCs w:val="18"/>
          <w:color w:val="auto"/>
        </w:rPr>
        <w:t>. The Shares to be issued under this Agreement have been, or with respect to Shares to be purchased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 pursuant to a particular Fixed Purchase Notice, a particular VWAP Purchase Notice or a particular Additional VWAP Purchase Notice, will be, prior to the delivery to the Investor hereunder of such Fixed Purchase Notice, VWAP Purchase Notice, Additional VWAP Purchase Notice, respectively, duly authorized by all necessary corporate action on the part of the Company. The Commitment Shares, when issued to</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68" w:name="page69"/>
    <w:bookmarkEnd w:id="6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Investor in accordance with this Agreement, and the Shares, when issued and sold against payment therefor in accordance with this Agreement, shall be validly issued and outstanding, fully paid and non-assessable and free from all liens, charges, taxes, security interests, encumbrances, rights of first refusal, preemptive or similar rights and other encumbrances with respect to the issue thereof, and the Investor shall be entitled to all rights accorded to a holder of Common Stock. As of the date of this Agreement, sufficient shares of Common Stock have been duly authorized and reserved by the Company for issuance and sale by the Company to the Investor as Shares under this Agreement, and sufficient shares of Common Stock have been duly authorized and reserved by the Company for issuance by the Company to the Investor as Commitment Shares under this Agreement.</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u w:val="single" w:color="auto"/>
          <w:color w:val="auto"/>
        </w:rPr>
        <w:t>No Conflicts</w:t>
      </w:r>
      <w:r>
        <w:rPr>
          <w:rFonts w:ascii="Times New Roman" w:cs="Times New Roman" w:eastAsia="Times New Roman" w:hAnsi="Times New Roman"/>
          <w:sz w:val="18"/>
          <w:szCs w:val="18"/>
          <w:color w:val="auto"/>
        </w:rPr>
        <w:t>. The execution, delivery and performance by the Company of each of the Transaction Documents to which it is a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the consummation by the Company of the transactions contemplated hereby and thereby do not and shall not (i) result in a violation of any provision of the Company’s Charter or Bylaws, (ii) conflict with or result in a breach or violation of any of the terms or provisions of, or constitute a default (or an event which, with notice or lapse of time or both, would become a default) under, or give rise to any rights of termination, amendment, acceleration or cancellation of, any material agreement, mortgage, deed of trust, indenture, note, bond, license, lease agreement, instrument or obligation to which the Company or of the Company’s Subsidiaries is a party or is bound, except as set forth on </w:t>
      </w:r>
      <w:r>
        <w:rPr>
          <w:rFonts w:ascii="Times New Roman" w:cs="Times New Roman" w:eastAsia="Times New Roman" w:hAnsi="Times New Roman"/>
          <w:sz w:val="18"/>
          <w:szCs w:val="18"/>
          <w:u w:val="single" w:color="auto"/>
          <w:color w:val="auto"/>
        </w:rPr>
        <w:t>Schedule 4.5</w:t>
      </w:r>
      <w:r>
        <w:rPr>
          <w:rFonts w:ascii="Times New Roman" w:cs="Times New Roman" w:eastAsia="Times New Roman" w:hAnsi="Times New Roman"/>
          <w:sz w:val="18"/>
          <w:szCs w:val="18"/>
          <w:color w:val="auto"/>
        </w:rPr>
        <w:t xml:space="preserve">, (iii) create or impose a lien, charge or encumbrance on any property or assets of the Company or of the Company’s Subsidiaries under any agreement or any commitment to which the Company or of the Company’s Subsidiaries is a party or by which the Company or of the Company’s Subsidiaries is bound or to which any of their respective properties or assets is subject, or (iv) result in a violation of any federal, state, local or foreign statute, rule, regulation, order, judgment or decree applicable to the Company or of the Company’s Subsidiaries or by which any property or asset of the Company or of the Company’s Subsidiaries are bound or affected (including federal and state securities laws and regulations and the rules and regulations of the Trading Market), except, in the case of clauses (ii), (iii) and (iv), for such conflicts, defaults, terminations, amendments, acceleration, cancellations, liens, charges, encumbrances and violations as would not, individually or in the aggregate, reasonably be expected to have a Material Adverse Effect. Except as specifically contemplated by this Agreement or the Registration Rights Agreement and as required under the Securities Act and any applicable state securities laws, the Company is not required under any federal, state, local or foreign law, rule or regulation to obtain any consent, authorization or order of, or make any filing or registration with, any court or governmental agency (including, without limitation, the Trading Market) in order for it to execute, deliver or perform any of its respective obligations under the Transaction Documents to which it is a party, or to issue the Securities to the Investor in accordance with the terms hereof and thereof (other than such consents, authorizations, orders, filings or registrations as have been obtained or made prior to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the representation made in this sentence, the Company is assuming and relying upon the accuracy of the representations and warranties of the Investor in this Agreement and the compliance by it with its covenants and agreements contained in this Agreement and the Registration Rights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69" w:name="page70"/>
    <w:bookmarkEnd w:id="69"/>
    <w:p>
      <w:pPr>
        <w:ind w:right="5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4.6. </w:t>
      </w:r>
      <w:r>
        <w:rPr>
          <w:rFonts w:ascii="Times New Roman" w:cs="Times New Roman" w:eastAsia="Times New Roman" w:hAnsi="Times New Roman"/>
          <w:sz w:val="18"/>
          <w:szCs w:val="18"/>
          <w:b w:val="1"/>
          <w:bCs w:val="1"/>
          <w:u w:val="single" w:color="auto"/>
          <w:color w:val="auto"/>
        </w:rPr>
        <w:t>Commission Documents, Financial Statements; Disclosure Controls and Procedures; Internal Controls Over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Reporting; Accountants</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The Company has timely filed (giving effect to permissible extensions in accordance with Rule 12b-25 under the Exchange Act) all Commission Documents for the twelve months preceding the date of this Agreement required to be filed by it (the “</w:t>
      </w:r>
      <w:r>
        <w:rPr>
          <w:rFonts w:ascii="Times New Roman" w:cs="Times New Roman" w:eastAsia="Times New Roman" w:hAnsi="Times New Roman"/>
          <w:sz w:val="18"/>
          <w:szCs w:val="18"/>
          <w:b w:val="1"/>
          <w:bCs w:val="1"/>
          <w:i w:val="1"/>
          <w:iCs w:val="1"/>
          <w:color w:val="auto"/>
        </w:rPr>
        <w:t>Filed Commission Documents</w:t>
      </w:r>
      <w:r>
        <w:rPr>
          <w:rFonts w:ascii="Times New Roman" w:cs="Times New Roman" w:eastAsia="Times New Roman" w:hAnsi="Times New Roman"/>
          <w:sz w:val="18"/>
          <w:szCs w:val="18"/>
          <w:color w:val="auto"/>
        </w:rPr>
        <w:t>”). The Company has delivered or made available to the Investor via EDGAR or otherwise true and complete copies of the Filed Commission Documents prior to the Closing Date. As of its filing date, each Commission Document complied in all material respects with the requirements of the Securities Act or the Exchange Act, as applicable, and other federal, state and local laws, rules and regulations applicable to it, and, as of its filing date (or, if amended or superseded by a filing prior to the Closing Date, on the date of such amended or superseded filing). Each Registration Statement, on the date it is filed with the Commission, on the date it is declared effective by the Commission, on each Fixed Purchase Date, each VWAP Purchase Date and each Additional VWAP Purchase Date, shall comply in all material respects with the requirements of the Securities Act (including, without limitation, Rule 415 under the Securities Act) and shall not contain any untrue statement of a material fact or omit to state a material fact required to be stated therein or necessary in order to make the statements therein not misleading, except that this representation and warranty shall not apply to statements in or omissions from such Registration Statement made in reliance upon and in conformity with information relating to the Investor furnished to the Company in writing by or on behalf of the Investor expressly for use therein. The Prospectus and each Prospectus Supplement required to be filed pursuant to this Agreement or the Registration Rights Agreement after the Closing Date, when taken together, on its date, on each Fixed Purchase Date, each VWAP Purchase Date and each Additional VWAP Purchase Date, shall comply in all material respects with the requirements of the Securities Act (including, without limitation, Rule 424(b) under the Securities Act) and shall not contain any untrue statement of a material fact or omit to state a material fact required to be stated therein or necessary in order to make the statements therein, in light of the circumstances under which they were made, not misleading, except that this representation and warranty shall not apply to statements in or omissions from the Prospectus or any Prospectus Supplement made in reliance upon and in conformity with information relating to the Investor furnished to the Company in writing by or on behalf of the Investor expressly for use therein. Each Commission Document to be filed with or furnished to the Commission after the Closing Date and filed as part of or incorporated by reference in the Registration Statement, or the Prospectus included therein or any Prospectus Supplement thereto required to be filed pursuant to this Agreement or the Registration Rights Agreement (including, without limitation, the Current Report), when such document is filed with or furnished to the Commission and, if applicable, when such document becomes effective, as the case may be, shall comply in all material respects with the requirements of the Securities Act or the Exchange Act, as applicable, and other federal, state and local laws, rules and regulations applicable to it. There are no outstanding or unresolved comments or undertakings in such comment letters received by the Company from the Commission. The Commission has not issued any stop order or other order suspending the effectiveness of any registration statement filed by the Company under the Securities Act or the Exchange Act. To the Company’s Knowledge, the Commission has not commenced any enforcement proceedings against the Company or any of its Subsidiaries.</w:t>
      </w:r>
    </w:p>
    <w:p>
      <w:pPr>
        <w:spacing w:after="0" w:line="203"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The financial statements and schedules of the Company and its consolidated Subsidiaries to be filed as part of or incorporated by reference in the Registration Statement, or the Prospectus included therein or any Prospectus Supplement thereto, present fairly in all material respects the financial condition, results of operations and cash flows of the Company and its consolidated Subsidiaries as of the dates and for the periods indicated, comply as to form with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70" w:name="page71"/>
    <w:bookmarkEnd w:id="70"/>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accounting requirements of Regulation S-X, and have been prepared in conformity with United States generally accepted accounting principles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applied on a consistent basis throughout the periods involved (except as otherwise noted therein). The interactive data in eXtensible Business Reporting Language included or incorporated by reference in the Commission Documents, the Registration Statement fairly presents the information called for in all material respects and have been prepared in accordance with the Commission’s rules and guidelines applicable thereto. The statistical and market-related data included or incorporated by reference in the Commission Documents or any Registration Statement are based on or derived from sources that the Company believes, after reasonable inquiry, to be reliable and accurate and, to the extent required, the Company has obtained the written consent to the use of such data from such source.</w:t>
      </w:r>
    </w:p>
    <w:p>
      <w:pPr>
        <w:spacing w:after="0" w:line="189"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The Company and the Subsidiaries have established and maintain disclosure controls and procedures (as such term is defined in Rule 13a-15 and 15d-15 under the Exchange Act). Except as disclosed in Commission Documents, such disclosure controls and procedures are designed to ensure that material information relating to the Company and its Subsidiaries is made known to the Company’s Chief Executive Officer and its Chief Financial Officer by others within those entities, and such disclosure controls and procedures are effective to perform the functions for which they were established. The Company and the Subsidiaries have established and maintain internal control over financial reporting (as such term is defined in Rule 13a-15 and 15d-15 under the Exchange Act). Except as disclosed in Commission Documents, such internal control over financial reporting is designed to provide reasonable assurance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 the Commission Documents fairly presents the information called for in all material respects and are prepared in accordance with the Commission’s rules and guidelines applicable thereto. The Company’s auditors and the Audit Committee of the Board of Directors of the Company have been advised of: (i) any significant deficiencies and material weaknesses in the design or operation of internal controls which could adversely affect the Company’s ability to record, process, summarize, and report financial data; and (ii) any fraud, whether or not material, that involves management or other employees who have a role in the Company’s internal controls. Since the date of the most recent evaluation of such disclosure controls and procedures, except as disclosed in Commission Documents, there have been (A) no material weakness in the Company’s internal control over financial reporting (whether or not remediated) and (B) no significant changes in internal controls or in other factors that could significantly affect internal controls, including any corrective actions with regard to significant deficiencies.</w:t>
      </w:r>
    </w:p>
    <w:p>
      <w:pPr>
        <w:spacing w:after="0" w:line="192" w:lineRule="exact"/>
        <w:rPr>
          <w:sz w:val="20"/>
          <w:szCs w:val="20"/>
          <w:color w:val="auto"/>
        </w:rPr>
      </w:pPr>
    </w:p>
    <w:p>
      <w:pPr>
        <w:ind w:right="760" w:firstLine="991"/>
        <w:spacing w:after="0" w:line="282" w:lineRule="auto"/>
        <w:rPr>
          <w:sz w:val="20"/>
          <w:szCs w:val="20"/>
          <w:color w:val="auto"/>
        </w:rPr>
      </w:pPr>
      <w:r>
        <w:rPr>
          <w:rFonts w:ascii="Times New Roman" w:cs="Times New Roman" w:eastAsia="Times New Roman" w:hAnsi="Times New Roman"/>
          <w:sz w:val="18"/>
          <w:szCs w:val="18"/>
          <w:color w:val="auto"/>
        </w:rPr>
        <w:t>The Company is in compliance with all applicable provisions of the Sarbanes-Oxley Act of 2002, as amended, and the rules and regulations thereunder, which are applicable to it as of the date hereof.</w:t>
      </w:r>
    </w:p>
    <w:p>
      <w:pPr>
        <w:spacing w:after="0" w:line="162"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The Company’s accountants are set forth in the Commission Documents and, to the Knowledge of the Company, such accountants are an independent registered public accounting firm as required by the Securities Act.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71" w:name="page72"/>
    <w:bookmarkEnd w:id="71"/>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4.7.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The Filed Commission Documents set forth each subsidiary (each, a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and collectively, the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Subsidiaries</w:t>
      </w:r>
      <w:r>
        <w:rPr>
          <w:rFonts w:ascii="Times New Roman" w:cs="Times New Roman" w:eastAsia="Times New Roman" w:hAnsi="Times New Roman"/>
          <w:sz w:val="18"/>
          <w:szCs w:val="18"/>
          <w:color w:val="auto"/>
        </w:rPr>
        <w:t>”), of the Company as of the Commencement Date, other than those that may be omitted pursuant to Item 601 of Regulation S-K, showing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its jurisdiction of incorporation or organization, and the Company does not have any other Subsidiaries as of the Commencement Date. Except as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otherwise disclosed in any Commission Document, no Subsidiary of the Company is currently prohibited, directly or indirectly, from paying 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dividends to the Company, from making any other distribution on such Subsidiary’s capital stock, from repaying to the Company any loans or advances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such Subsidiary from the Company or from transferring any of such Subsidiary’s property or assets to the Company or any other Subsidiary of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 except as described or incorporated by reference in, or contemplated by, the Registration Statement and the Prospectus, or as would not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reasonably be expected to have a Material Adverse Effect.</w:t>
      </w:r>
    </w:p>
    <w:p>
      <w:pPr>
        <w:spacing w:after="0" w:line="203"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Section 4.8. </w:t>
      </w:r>
      <w:r>
        <w:rPr>
          <w:rFonts w:ascii="Times New Roman" w:cs="Times New Roman" w:eastAsia="Times New Roman" w:hAnsi="Times New Roman"/>
          <w:sz w:val="17"/>
          <w:szCs w:val="17"/>
          <w:b w:val="1"/>
          <w:bCs w:val="1"/>
          <w:u w:val="single" w:color="auto"/>
          <w:color w:val="auto"/>
        </w:rPr>
        <w:t>No Material Adverse Effect or Material Adverse Change, No Undisclosed Liabilities</w:t>
      </w:r>
      <w:r>
        <w:rPr>
          <w:rFonts w:ascii="Times New Roman" w:cs="Times New Roman" w:eastAsia="Times New Roman" w:hAnsi="Times New Roman"/>
          <w:sz w:val="17"/>
          <w:szCs w:val="17"/>
          <w:color w:val="auto"/>
        </w:rPr>
        <w:t>. Except as otherwise disclosed in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Commission Document, since the end of the Company’s most recent audited fiscal year: (i) the Company has not experienced or suffered any Material Adverse Effect, and, to the Company’s Knowledge, there exists no current state of facts, condition or event which would have a Material Adverse Effect; (ii) there has not occurred any material adverse change, or any development that would reasonably be expected to result in a prospective material adverse change, in the condition, financial or otherwise, or in the earnings, business or operations of the Company from that set forth in the Commission Documents, including, without limitation, as a result of the outbreak of COVID-19, or as a result of any measures intended to contain the outbreak of COVID-19 imposed by any federal, state, local or foreign government or government agency in any country or region in which the Company, or any of its agents, consultants, advisors or vendors, has assets or properties or conducts business, including, without limitation, any limitations, curtailments, suspensions or closures of businesses, business offices or establishments, schools, properties and other public areas due to quarantines, curfews, travel restrictions, workplace controls, “stay-at-home” orders, social distancing requirements or guidelines or other public gathering restrictions or limitations;</w:t>
      </w:r>
    </w:p>
    <w:p>
      <w:pPr>
        <w:spacing w:after="0" w:line="8" w:lineRule="exact"/>
        <w:rPr>
          <w:sz w:val="20"/>
          <w:szCs w:val="20"/>
          <w:color w:val="auto"/>
        </w:rPr>
      </w:pPr>
    </w:p>
    <w:p>
      <w:pPr>
        <w:jc w:val="both"/>
        <w:ind w:left="4" w:right="120" w:hanging="4"/>
        <w:spacing w:after="0" w:line="253" w:lineRule="auto"/>
        <w:tabs>
          <w:tab w:leader="none" w:pos="31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incurred any material liability or obligation, direct or contingent, nor entered into any material transaction; (iv) the Company has not purchased any of its outstanding capital stock, nor declared, paid or otherwise made any dividend or distribution of any kind on its capital stock other than ordinary and customary dividends; and (v) there has not been any material change in the capital stock, short-term debt or long-term debt of the Company.</w:t>
      </w:r>
    </w:p>
    <w:p>
      <w:pPr>
        <w:spacing w:after="0" w:line="189"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Neither the Company nor any of its Subsidiaries has any liabilities, obligations, claims or losses (whether liquidated or unliquidated, secured or unsecured, absolute, accrued, contingent or otherwise) that would be required to be disclosed on a balance sheet of the Company or any Subsidiary (including the notes thereto) in conformity with GAAP and are not disclosed in the Commission Documents, other than those incurred in the ordinary course of the Company’s or its Subsidiaries respective businesses and which, individually or in the aggregate, would not reasonably be expected to have a Material Adverse Effect.</w:t>
      </w:r>
    </w:p>
    <w:p>
      <w:pPr>
        <w:spacing w:after="0" w:line="179" w:lineRule="exact"/>
        <w:rPr>
          <w:sz w:val="20"/>
          <w:szCs w:val="20"/>
          <w:color w:val="auto"/>
        </w:rPr>
      </w:pPr>
    </w:p>
    <w:p>
      <w:pPr>
        <w:ind w:left="4"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u w:val="single" w:color="auto"/>
          <w:color w:val="auto"/>
        </w:rPr>
        <w:t>No Undisclosed Events or Circumstances</w:t>
      </w:r>
      <w:r>
        <w:rPr>
          <w:rFonts w:ascii="Times New Roman" w:cs="Times New Roman" w:eastAsia="Times New Roman" w:hAnsi="Times New Roman"/>
          <w:sz w:val="18"/>
          <w:szCs w:val="18"/>
          <w:color w:val="auto"/>
        </w:rPr>
        <w:t>. Except as otherwise disclosed in any Commission Document, no event,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or circumstance has occurred or exists, or is reasonably expected to exist or occur with respect to the Company, any of its Subsidiaries or any of their respective businesses, properties, liabilities, prospects, operations</w:t>
      </w:r>
    </w:p>
    <w:p>
      <w:pPr>
        <w:spacing w:after="0" w:line="10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4"/>
          </w:cols>
          <w:pgMar w:left="436" w:top="266" w:right="479" w:bottom="1440" w:gutter="0" w:footer="0" w:header="0"/>
        </w:sectPr>
      </w:pPr>
    </w:p>
    <w:bookmarkStart w:id="72" w:name="page73"/>
    <w:bookmarkEnd w:id="72"/>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results thereof) or condition (financial or otherwise), that (i) would be required to be disclosed by the Company under applicable securities laws in the Registration Statement or the Prospectus, which has not been disclosed or incorporated by reference in the Registration Statement and the Prospectus, or (ii) would reasonably be expected to have a Material Adverse Effect.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Indebtedness</w:t>
      </w:r>
      <w:r>
        <w:rPr>
          <w:rFonts w:ascii="Times New Roman" w:cs="Times New Roman" w:eastAsia="Times New Roman" w:hAnsi="Times New Roman"/>
          <w:sz w:val="18"/>
          <w:szCs w:val="18"/>
          <w:color w:val="auto"/>
        </w:rPr>
        <w:t>. The Filed Commission Documents set forth all outstanding secured and unsecured Indebtedness of the Company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Subsidiary, or for which the Company or any Subsidiary has commitments through such date. For the purposes of this Agreement, “</w:t>
      </w:r>
      <w:r>
        <w:rPr>
          <w:rFonts w:ascii="Times New Roman" w:cs="Times New Roman" w:eastAsia="Times New Roman" w:hAnsi="Times New Roman"/>
          <w:sz w:val="18"/>
          <w:szCs w:val="18"/>
          <w:b w:val="1"/>
          <w:bCs w:val="1"/>
          <w:i w:val="1"/>
          <w:iCs w:val="1"/>
          <w:color w:val="auto"/>
        </w:rPr>
        <w:t>Indebtedness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mean (a) any liabilities for borrowed money or amounts owed in excess of $100,000 (other than trade accounts payable incurred in the ordinary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course of business), (b) all guaranties, endorsements, indemnities and other contingent obligations in respect of Indebtedness of others in excess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$100,000, whether or not the same are or should be reflected in the Company’s balance sheet (or the notes thereto), except guaranties by endorsement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negotiable instruments for deposit or collection or similar transactions in the ordinary course of business; and (c) the present value of any 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in excess of $100,000 due under leases required to be capitalized in accordance with GAAP. There is no existing or continuing default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of default in respect of any Indebtedness of the Company or any of its Subsidiaries. The Company has not taken any steps, and does not currently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 to take any steps, to seek protection pursuant to Title 11 of the United States Code or any similar federal or state bankruptcy law or law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relief of debtors, nor does the Company have any Knowledge that its creditors intend to initiate involuntary bankruptcy, insolvency, reorganization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liquidation proceedings or other proceedings for relief under Title 11 of the United States Code or any other federal or state bankruptcy law or any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relief of debtors.</w:t>
      </w:r>
    </w:p>
    <w:p>
      <w:pPr>
        <w:spacing w:after="0" w:line="203"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b w:val="1"/>
          <w:bCs w:val="1"/>
          <w:u w:val="single" w:color="auto"/>
          <w:color w:val="auto"/>
        </w:rPr>
        <w:t>Title to Assets</w:t>
      </w:r>
      <w:r>
        <w:rPr>
          <w:rFonts w:ascii="Times New Roman" w:cs="Times New Roman" w:eastAsia="Times New Roman" w:hAnsi="Times New Roman"/>
          <w:sz w:val="18"/>
          <w:szCs w:val="18"/>
          <w:color w:val="auto"/>
        </w:rPr>
        <w:t>. The Company and each of its Subsidiaries have good and marketable title in fee simple to all real property and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marketable title to all personal property owned by them which is material to the business of the Company, in each case free and clear of all liens, encumbrances and defects except such as are described or incorporated by reference in the Registration Statement and the Prospectus or such as do not materially affect the value of such property and do not interfere with the use made and proposed to be made of such property by the Company and its Subsidiaries; and any real property and buildings held under lease by the Company and its Subsidiaries are held by it under valid, subsisting and enforceable leases with such exceptions as are not material and do not interfere in any material respect with the use made and proposed to be made of such property and buildings by the Company and its Subsidiaries, in each case except as described or incorporated by reference in the Registration Statement and the Prospectus</w:t>
      </w:r>
    </w:p>
    <w:p>
      <w:pPr>
        <w:spacing w:after="0" w:line="18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4.12. </w:t>
      </w:r>
      <w:r>
        <w:rPr>
          <w:rFonts w:ascii="Times New Roman" w:cs="Times New Roman" w:eastAsia="Times New Roman" w:hAnsi="Times New Roman"/>
          <w:sz w:val="18"/>
          <w:szCs w:val="18"/>
          <w:b w:val="1"/>
          <w:bCs w:val="1"/>
          <w:u w:val="single" w:color="auto"/>
          <w:color w:val="auto"/>
        </w:rPr>
        <w:t>Actions Pending</w:t>
      </w:r>
      <w:r>
        <w:rPr>
          <w:rFonts w:ascii="Times New Roman" w:cs="Times New Roman" w:eastAsia="Times New Roman" w:hAnsi="Times New Roman"/>
          <w:sz w:val="18"/>
          <w:szCs w:val="18"/>
          <w:color w:val="auto"/>
        </w:rPr>
        <w:t>. Except as disclosed in Commission Documents, there is no action, suit, proceeding, inquiry or investigation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or by any court, public board, government agency, self-regulatory organization or body pending or, to the Knowledge of the Company, threatened against or affecting the Company or any of the Subsidiaries, or any of their respective officers or directors in their capacities as such, which would reasonably be expected to have a Material Adverse Effect.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73" w:name="page74"/>
    <w:bookmarkEnd w:id="73"/>
    <w:p>
      <w:pPr>
        <w:jc w:val="both"/>
        <w:ind w:right="4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4.13. </w:t>
      </w:r>
      <w:r>
        <w:rPr>
          <w:rFonts w:ascii="Times New Roman" w:cs="Times New Roman" w:eastAsia="Times New Roman" w:hAnsi="Times New Roman"/>
          <w:sz w:val="18"/>
          <w:szCs w:val="18"/>
          <w:b w:val="1"/>
          <w:bCs w:val="1"/>
          <w:u w:val="single" w:color="auto"/>
          <w:color w:val="auto"/>
        </w:rPr>
        <w:t>Compliance With Laws</w:t>
      </w:r>
      <w:r>
        <w:rPr>
          <w:rFonts w:ascii="Times New Roman" w:cs="Times New Roman" w:eastAsia="Times New Roman" w:hAnsi="Times New Roman"/>
          <w:sz w:val="18"/>
          <w:szCs w:val="18"/>
          <w:color w:val="auto"/>
        </w:rPr>
        <w:t>. During the 12-month period immediately preceding the date hereof, except as described in the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Documents, the Company and each of its Subsidiaries is and at all times has been in material compliance with all applicable U.S. and foreign statutes, rules, or regulations applicable to Company and its Subsidiaries (“</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except as would not, individually or in the aggregate, reasonably be expected to result in a Material Adverse Effect.</w:t>
      </w:r>
    </w:p>
    <w:p>
      <w:pPr>
        <w:spacing w:after="0" w:line="176"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4.14. </w:t>
      </w:r>
      <w:r>
        <w:rPr>
          <w:rFonts w:ascii="Times New Roman" w:cs="Times New Roman" w:eastAsia="Times New Roman" w:hAnsi="Times New Roman"/>
          <w:sz w:val="18"/>
          <w:szCs w:val="18"/>
          <w:b w:val="1"/>
          <w:bCs w:val="1"/>
          <w:u w:val="single" w:color="auto"/>
          <w:color w:val="auto"/>
        </w:rPr>
        <w:t>Certain Fees</w:t>
      </w:r>
      <w:r>
        <w:rPr>
          <w:rFonts w:ascii="Times New Roman" w:cs="Times New Roman" w:eastAsia="Times New Roman" w:hAnsi="Times New Roman"/>
          <w:sz w:val="18"/>
          <w:szCs w:val="18"/>
          <w:color w:val="auto"/>
        </w:rPr>
        <w:t>. Except as set forth on Schedule 4.14, no brokerage or finder’s fees or commissions are or will be payable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the Subsidiaries to any broker, financial advisor or consultant, finder, placement agent, investment banker, bank or other Person with respect to the transactions contemplated by the Transaction Documents. The Investor shall have no obligation with respect to any fees or with respect to any claims made by or on behalf of other Persons for fees of a type contemplated in this Section 4.14 incurred by the Company or the Subsidiaries that may be due or payable in connection with the transactions contemplated by the Transaction Documents.</w:t>
      </w:r>
    </w:p>
    <w:p>
      <w:pPr>
        <w:spacing w:after="0" w:line="17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4.15. </w:t>
      </w:r>
      <w:r>
        <w:rPr>
          <w:rFonts w:ascii="Times New Roman" w:cs="Times New Roman" w:eastAsia="Times New Roman" w:hAnsi="Times New Roman"/>
          <w:sz w:val="18"/>
          <w:szCs w:val="18"/>
          <w:b w:val="1"/>
          <w:bCs w:val="1"/>
          <w:u w:val="single" w:color="auto"/>
          <w:color w:val="auto"/>
        </w:rPr>
        <w:t>Operation of Business</w:t>
      </w:r>
      <w:r>
        <w:rPr>
          <w:rFonts w:ascii="Times New Roman" w:cs="Times New Roman" w:eastAsia="Times New Roman" w:hAnsi="Times New Roman"/>
          <w:sz w:val="18"/>
          <w:szCs w:val="18"/>
          <w:color w:val="auto"/>
        </w:rPr>
        <w:t>. The Company and the Subsidiaries possess or have obtained, all licenses, certificates, consents, orders,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approvals, permits and other authorizations issued by, and have made all declarations and filings with, the appropriate federal, state, local or foreign governmental entity that are necessary for the ownership or lease of their respective properties or the conduct of their respective businesses as currently conducted, as described or incorporated by reference in the Registration Statement and the Prospectus (the “</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except where the failure to possess, obtain or make the same would not, individually or in the aggregate, have a Material Adverse Effect. Neither the Company nor any Subsidiary has received written notice of any proceeding relating to revocation or modification of any such Permit or has any reason to believe that such Permit will not be renewed in the ordinary course, except where the failure to obtain any such renewal would not, individually or in the aggregate, have a Material Adverse Effect. This Section 4.15 does not relate to environmental matters, such items being the subject of Section 4.16.</w:t>
      </w:r>
    </w:p>
    <w:p>
      <w:pPr>
        <w:spacing w:after="0" w:line="18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4.16. </w:t>
      </w:r>
      <w:r>
        <w:rPr>
          <w:rFonts w:ascii="Times New Roman" w:cs="Times New Roman" w:eastAsia="Times New Roman" w:hAnsi="Times New Roman"/>
          <w:sz w:val="18"/>
          <w:szCs w:val="18"/>
          <w:b w:val="1"/>
          <w:bCs w:val="1"/>
          <w:u w:val="single" w:color="auto"/>
          <w:color w:val="auto"/>
        </w:rPr>
        <w:t>Environmental Compliance</w:t>
      </w:r>
      <w:r>
        <w:rPr>
          <w:rFonts w:ascii="Times New Roman" w:cs="Times New Roman" w:eastAsia="Times New Roman" w:hAnsi="Times New Roman"/>
          <w:sz w:val="18"/>
          <w:szCs w:val="18"/>
          <w:color w:val="auto"/>
        </w:rPr>
        <w:t>. Other than as disclosed in the Commission Documents, to the Knowledge of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its Subsidiaries are not in violation of any statute, any rule, regulation, decision or order of any governmental agency or body or any court, domestic or foreign, relating to the use, disposal or release of hazardous or toxic substances (collectively, “</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owns or operates any real property contaminated with any substance that is subject to any Environmental Laws, is liable for any off-site disposal or contamination pursuant to any Environmental Laws, or subject to any claim relating to any Environmental Laws, which violation, contamination, liability or claim would, individually or in the aggregate, reasonably be expected to have a Material Adverse Effect; and the Company is not aware of any pending investigation which might lead to such a claim. Other than as disclosed in the Commission Documents or set forth or incorporated by reference in the Registration Statement and the Prospectus, there is no judgment, decree, injunction, rule, writ or order of any governmental entity under any Environmental Laws outstanding against the Company and its Subsidiaries which would, individually or in the aggregate, reasonably be expected to have a Material Adverse Effect.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6" w:right="459" w:bottom="1440" w:gutter="0" w:footer="0" w:header="0"/>
        </w:sectPr>
      </w:pPr>
    </w:p>
    <w:bookmarkStart w:id="74" w:name="page75"/>
    <w:bookmarkEnd w:id="74"/>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4.17. </w:t>
      </w:r>
      <w:r>
        <w:rPr>
          <w:rFonts w:ascii="Times New Roman" w:cs="Times New Roman" w:eastAsia="Times New Roman" w:hAnsi="Times New Roman"/>
          <w:sz w:val="18"/>
          <w:szCs w:val="18"/>
          <w:b w:val="1"/>
          <w:bCs w:val="1"/>
          <w:u w:val="single" w:color="auto"/>
          <w:color w:val="auto"/>
        </w:rPr>
        <w:t>Material Agreements</w:t>
      </w:r>
      <w:r>
        <w:rPr>
          <w:rFonts w:ascii="Times New Roman" w:cs="Times New Roman" w:eastAsia="Times New Roman" w:hAnsi="Times New Roman"/>
          <w:sz w:val="18"/>
          <w:szCs w:val="18"/>
          <w:color w:val="auto"/>
        </w:rPr>
        <w:t>. Except as set forth in the Commission Documents, neither the Company nor any Subsidiary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 party to any written or oral contract, instrument, agreement commitment, obligation, plan or arrangement, a copy of which would be required pursuant to the Securities Act or the Exchange Act to be filed with the SEC as an exhibit to an annual report on Form 10-K (collectively, “</w:t>
      </w:r>
      <w:r>
        <w:rPr>
          <w:rFonts w:ascii="Times New Roman" w:cs="Times New Roman" w:eastAsia="Times New Roman" w:hAnsi="Times New Roman"/>
          <w:sz w:val="18"/>
          <w:szCs w:val="18"/>
          <w:b w:val="1"/>
          <w:bCs w:val="1"/>
          <w:i w:val="1"/>
          <w:i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Agreements</w:t>
      </w:r>
      <w:r>
        <w:rPr>
          <w:rFonts w:ascii="Times New Roman" w:cs="Times New Roman" w:eastAsia="Times New Roman" w:hAnsi="Times New Roman"/>
          <w:sz w:val="18"/>
          <w:szCs w:val="18"/>
          <w:color w:val="auto"/>
        </w:rPr>
        <w:t>”). Each of the Material Agreements described in the Commission Documents conform in all material respects to the descriptions thereof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contained or incorporated by reference therein. Except as disclosed in the Commission Documents, the Company and each of its Subsidiaries have performed in all material respects all the obligations then required to be performed by them under the Material Agreements, have received no notice of default or an event of default by the Company or any of its Subsidiaries thereunder and are not aware of any basis for the assertion thereof, and neither the Company or any of its Subsidiaries nor, to the Knowledge of the Company, any other contracting party thereto are in default under any Material Agreement now in effect, the result of which would have a Material Adverse Effect. Each of the Material Agreements is in full force and effect, and constitutes a legal, valid and binding obligation enforceable in accordance with its terms against the Company and/or any of its Subsidiaries and, to the Knowledge of the Company, each other contracting party thereto,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w:t>
      </w:r>
    </w:p>
    <w:p>
      <w:pPr>
        <w:spacing w:after="0" w:line="187"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4.18. </w:t>
      </w:r>
      <w:r>
        <w:rPr>
          <w:rFonts w:ascii="Times New Roman" w:cs="Times New Roman" w:eastAsia="Times New Roman" w:hAnsi="Times New Roman"/>
          <w:sz w:val="18"/>
          <w:szCs w:val="18"/>
          <w:b w:val="1"/>
          <w:bCs w:val="1"/>
          <w:u w:val="single" w:color="auto"/>
          <w:color w:val="auto"/>
        </w:rPr>
        <w:t>Transactions With Affiliates</w:t>
      </w:r>
      <w:r>
        <w:rPr>
          <w:rFonts w:ascii="Times New Roman" w:cs="Times New Roman" w:eastAsia="Times New Roman" w:hAnsi="Times New Roman"/>
          <w:sz w:val="18"/>
          <w:szCs w:val="18"/>
          <w:color w:val="auto"/>
        </w:rPr>
        <w:t>. Except as disclosed in the Commission Documents, none of the Company’s officers or directors,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Company’s Knowledge, none of the Company’s stockholders or any family member or Affiliate of any of the foregoing, has either directly or indirectly an interest in, or is a party to, any transaction that would be required to be disclosed as a related party transaction pursuant to Item 404 of Regulation S-K promulgated under the Securities Act.</w:t>
      </w:r>
    </w:p>
    <w:p>
      <w:pPr>
        <w:spacing w:after="0" w:line="176"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Section 4.19. </w:t>
      </w:r>
      <w:r>
        <w:rPr>
          <w:rFonts w:ascii="Times New Roman" w:cs="Times New Roman" w:eastAsia="Times New Roman" w:hAnsi="Times New Roman"/>
          <w:sz w:val="17"/>
          <w:szCs w:val="17"/>
          <w:b w:val="1"/>
          <w:bCs w:val="1"/>
          <w:u w:val="single" w:color="auto"/>
          <w:color w:val="auto"/>
        </w:rPr>
        <w:t>Intellectual Property Rights</w:t>
      </w:r>
      <w:r>
        <w:rPr>
          <w:rFonts w:ascii="Times New Roman" w:cs="Times New Roman" w:eastAsia="Times New Roman" w:hAnsi="Times New Roman"/>
          <w:sz w:val="17"/>
          <w:szCs w:val="17"/>
          <w:color w:val="auto"/>
        </w:rPr>
        <w:t>. The Company and its Subsidiaries own or possess adequate rights or licenses to use all material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trademarks, trade names, service marks, service mark registrations, service names, patents, patent rights, copyrights, inventions, licenses, approvals, governmental authorizations, trade secrets and rights necessary to conduct their respective businesses as now conducted, except as would not reasonably be expected to have a Material Adverse Effect. None of the Company’s material trademarks, trade names, service marks, service mark registrations, service names, patents, patent rights, copyrights, inventions, licenses, approvals, government authorizations, trade secrets or other intellectual property rights have expired or terminated, or, by the terms and conditions thereof, will expire or terminate within two years from the date of this Agreement, except as would not reasonably be expected to have a Material Adverse Effect. The Company has no Knowledge of any infringement by the Company or the Subsidiaries of any material trademark, trade name rights, patents, patent rights, copyrights, inventions, licenses, service names, service marks, service mark registrations, trade secret or other similar rights of others, or of any such development of similar or identical trade secrets or technical information by others, and there is no claim, action or proceeding being made or brought against, or to the Company’s Knowledge, being threatened against, the Company or the Subsidiaries regarding trademark, trade name, patents, patent rights, invention, copyright, license, service names, service marks, service mark registrations, trade secret or other infringement, which would reasonably be expected to have a Material Adverse Effect.</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66" w:right="479" w:bottom="1440" w:gutter="0" w:footer="0" w:header="0"/>
        </w:sectPr>
      </w:pPr>
    </w:p>
    <w:bookmarkStart w:id="75" w:name="page76"/>
    <w:bookmarkEnd w:id="75"/>
    <w:p>
      <w:pPr>
        <w:jc w:val="both"/>
        <w:ind w:right="3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4.20. </w:t>
      </w:r>
      <w:r>
        <w:rPr>
          <w:rFonts w:ascii="Times New Roman" w:cs="Times New Roman" w:eastAsia="Times New Roman" w:hAnsi="Times New Roman"/>
          <w:sz w:val="18"/>
          <w:szCs w:val="18"/>
          <w:b w:val="1"/>
          <w:bCs w:val="1"/>
          <w:u w:val="single" w:color="auto"/>
          <w:color w:val="auto"/>
        </w:rPr>
        <w:t>Use of Proceeds</w:t>
      </w:r>
      <w:r>
        <w:rPr>
          <w:rFonts w:ascii="Times New Roman" w:cs="Times New Roman" w:eastAsia="Times New Roman" w:hAnsi="Times New Roman"/>
          <w:sz w:val="18"/>
          <w:szCs w:val="18"/>
          <w:color w:val="auto"/>
        </w:rPr>
        <w:t>. The proceeds from the sale of the Shares by the Company to the Investor shall be used by the Company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as will be set forth in the Prospectus included in any Registration Statement (and any post-effective amendment thereto) and any Prospectus Supplement thereto filed pursuant to the Registration Rights Agreement.</w:t>
      </w:r>
    </w:p>
    <w:p>
      <w:pPr>
        <w:spacing w:after="0" w:line="171" w:lineRule="exact"/>
        <w:rPr>
          <w:sz w:val="20"/>
          <w:szCs w:val="20"/>
          <w:color w:val="auto"/>
        </w:rPr>
      </w:pPr>
    </w:p>
    <w:p>
      <w:pPr>
        <w:ind w:right="10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Section 4.21. </w:t>
      </w:r>
      <w:r>
        <w:rPr>
          <w:rFonts w:ascii="Times New Roman" w:cs="Times New Roman" w:eastAsia="Times New Roman" w:hAnsi="Times New Roman"/>
          <w:sz w:val="17"/>
          <w:szCs w:val="17"/>
          <w:b w:val="1"/>
          <w:bCs w:val="1"/>
          <w:u w:val="single" w:color="auto"/>
          <w:color w:val="auto"/>
        </w:rPr>
        <w:t>Investment Company Act Status</w:t>
      </w:r>
      <w:r>
        <w:rPr>
          <w:rFonts w:ascii="Times New Roman" w:cs="Times New Roman" w:eastAsia="Times New Roman" w:hAnsi="Times New Roman"/>
          <w:sz w:val="17"/>
          <w:szCs w:val="17"/>
          <w:color w:val="auto"/>
        </w:rPr>
        <w:t>. The Company is not required to be registered as, and immediately after receipt of payment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Shares will not be required to be registered as, an “investment company” within the meaning of the Investment Company Act of 1940, as amended.</w:t>
      </w:r>
    </w:p>
    <w:p>
      <w:pPr>
        <w:spacing w:after="0" w:line="13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4.22. </w:t>
      </w:r>
      <w:r>
        <w:rPr>
          <w:rFonts w:ascii="Times New Roman" w:cs="Times New Roman" w:eastAsia="Times New Roman" w:hAnsi="Times New Roman"/>
          <w:sz w:val="18"/>
          <w:szCs w:val="18"/>
          <w:b w:val="1"/>
          <w:bCs w:val="1"/>
          <w:u w:val="single" w:color="auto"/>
          <w:color w:val="auto"/>
        </w:rPr>
        <w:t>Benefit Plans; Labor Matters</w:t>
      </w:r>
      <w:r>
        <w:rPr>
          <w:rFonts w:ascii="Times New Roman" w:cs="Times New Roman" w:eastAsia="Times New Roman" w:hAnsi="Times New Roman"/>
          <w:sz w:val="18"/>
          <w:szCs w:val="18"/>
          <w:color w:val="auto"/>
        </w:rPr>
        <w:t>. Each benefit and compensation plan, agreement, policy and arrangement that is maintained,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administered or contributed to by the Company for current or former employees or directors of, or independent contractors with respect to, the Company has been maintained in material compliance with its terms and the requirements of any applicable statutes, orders, rules and regulations, and the Company has complied in all material respects with all applicable statutes, orders, rules and regulations in regard to such plans, agreements, policies and arrangements. Each stock option granted under any equity incentive plan of the Company (each, a “</w:t>
      </w:r>
      <w:r>
        <w:rPr>
          <w:rFonts w:ascii="Times New Roman" w:cs="Times New Roman" w:eastAsia="Times New Roman" w:hAnsi="Times New Roman"/>
          <w:sz w:val="18"/>
          <w:szCs w:val="18"/>
          <w:b w:val="1"/>
          <w:bCs w:val="1"/>
          <w:i w:val="1"/>
          <w:iCs w:val="1"/>
          <w:color w:val="auto"/>
        </w:rPr>
        <w:t>Stock Plan</w:t>
      </w:r>
      <w:r>
        <w:rPr>
          <w:rFonts w:ascii="Times New Roman" w:cs="Times New Roman" w:eastAsia="Times New Roman" w:hAnsi="Times New Roman"/>
          <w:sz w:val="18"/>
          <w:szCs w:val="18"/>
          <w:color w:val="auto"/>
        </w:rPr>
        <w:t>”) was granted with a per share exercise price no less than the market price per common share on the grant date of such option in accordance with the rules of the Trading Market, and no such grant involved any “back-dating,” “forward-dating” or similar practice with respect to the effective date of such grant; each such option (i) was granted in compliance in all material respects with Applicable Laws and with the applicable Stock Plan(s), (ii) was duly approved by or under authority granted by the Company’s Board of Directors, and (iii) has been properly accounted for in the Company’s financial statements and disclosed, to the extent required, in the Company’s filings or submissions with the Commission, and the Trading Market. Neither the Company nor any Subsidiary is in violation of or has received written notice of any violation with respect to any federal or state law, regulation or rule relating to discrimination in the hiring, termination, promotion, employment or pay of employees, nor any applicable federal or state wages and hours law, nor any state law, regulation or rule precluding the denial of credit due to the neighborhood in which a property is situated, the violation of any of which, individually or in the aggregate, would reasonably be expected to have a Material Adverse Effect. There are no existing or, to the Knowledge of the Company, threatened labor disputes with the employees of the Company or any of the Subsidiaries that would reasonably be expected to have, individually or in the aggregate, a Material Adverse Effect.</w:t>
      </w:r>
    </w:p>
    <w:p>
      <w:pPr>
        <w:spacing w:after="0" w:line="19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4.23. </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 Each of the Company and the Subsidiaries has filed on a timely basis (including in accordance with any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extensions) all material necessary federal, state, local and foreign income and franchise tax returns required to be filed through the date hereof or have properly requested extensions thereof, and have paid all taxes shown as due thereon, and if due and payable, any related or similar assessment, fine or penalty levied against the Company or the Subsidiaries. Except as disclosed in the Commission Documents, no material tax deficiency has been asserted against any such entity, and the Company has no Knowledge of any tax deficiency that is likely to be asserted against any such entity that, individually or in the aggregate, if determined adversely to any such entity, would reasonably be expected to have a Material Adverse Effect. All material tax liabilities are adequately provided for on the respective books of the Company and the Subsidiaries.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66" w:right="479" w:bottom="1440" w:gutter="0" w:footer="0" w:header="0"/>
        </w:sectPr>
      </w:pPr>
    </w:p>
    <w:bookmarkStart w:id="76" w:name="page77"/>
    <w:bookmarkEnd w:id="76"/>
    <w:p>
      <w:pPr>
        <w:ind w:right="40" w:firstLine="440"/>
        <w:spacing w:after="0" w:line="273"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4.24. </w:t>
      </w:r>
      <w:r>
        <w:rPr>
          <w:rFonts w:ascii="Times New Roman" w:cs="Times New Roman" w:eastAsia="Times New Roman" w:hAnsi="Times New Roman"/>
          <w:sz w:val="17"/>
          <w:szCs w:val="17"/>
          <w:b w:val="1"/>
          <w:bCs w:val="1"/>
          <w:u w:val="single" w:color="auto"/>
          <w:color w:val="auto"/>
        </w:rPr>
        <w:t>Insurance</w:t>
      </w:r>
      <w:r>
        <w:rPr>
          <w:rFonts w:ascii="Times New Roman" w:cs="Times New Roman" w:eastAsia="Times New Roman" w:hAnsi="Times New Roman"/>
          <w:sz w:val="17"/>
          <w:szCs w:val="17"/>
          <w:color w:val="auto"/>
        </w:rPr>
        <w:t>. The Company and each of its Subsidiaries are insured by insurers of recognized financial responsibility against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losses and risks and in such amounts as management of the Company believes to be prudent and customary in the businesses in which the Company and its Subsidiaries are engaged, including, but not limited to, insurance covering real and personal property owned or leased by the Company and the Subsidiaries against theft, damage, destruction, environmental liabilities, acts of vandalism, terrorism, earthquakes, flood and all other risks customarily insured against, all of which insurance is in full force and effect. Neither the Company nor any such Subsidiary has been refused any insurance coverage sought or applied for and neither the Company nor any such Subsidiary has any reason to believe that it will not be able to obtain similar coverage from similar insurers as may be necessary to continue its business at a cost that would not reasonably be expected to have a Material Adverse Effect.</w:t>
      </w:r>
    </w:p>
    <w:p>
      <w:pPr>
        <w:spacing w:after="0" w:line="171" w:lineRule="exact"/>
        <w:rPr>
          <w:sz w:val="20"/>
          <w:szCs w:val="20"/>
          <w:color w:val="auto"/>
        </w:rPr>
      </w:pPr>
    </w:p>
    <w:p>
      <w:pPr>
        <w:ind w:right="3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4.25. </w:t>
      </w:r>
      <w:r>
        <w:rPr>
          <w:rFonts w:ascii="Times New Roman" w:cs="Times New Roman" w:eastAsia="Times New Roman" w:hAnsi="Times New Roman"/>
          <w:sz w:val="18"/>
          <w:szCs w:val="18"/>
          <w:b w:val="1"/>
          <w:bCs w:val="1"/>
          <w:u w:val="single" w:color="auto"/>
          <w:color w:val="auto"/>
        </w:rPr>
        <w:t>Dilutive Effect</w:t>
      </w:r>
      <w:r>
        <w:rPr>
          <w:rFonts w:ascii="Times New Roman" w:cs="Times New Roman" w:eastAsia="Times New Roman" w:hAnsi="Times New Roman"/>
          <w:sz w:val="18"/>
          <w:szCs w:val="18"/>
          <w:color w:val="auto"/>
        </w:rPr>
        <w:t>. The Company is aware and acknowledges that issuance of the Securities could cause dilution to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and could significantly increase the outstanding number of shares of Common Stock. The Company further acknowledges that its obligation to issue the Commitment Shares and to issue the Shares pursuant to the terms of a Fixed Purchase, VWAP Purchase or Additional VWAP Purchase in accordance with this Agreement is, in each case, unconditional regardless of the dilutive effect that such issuance may have on the ownership interests of other stockholders of the Company.</w:t>
      </w:r>
    </w:p>
    <w:p>
      <w:pPr>
        <w:spacing w:after="0" w:line="179"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4.26. </w:t>
      </w:r>
      <w:r>
        <w:rPr>
          <w:rFonts w:ascii="Times New Roman" w:cs="Times New Roman" w:eastAsia="Times New Roman" w:hAnsi="Times New Roman"/>
          <w:sz w:val="18"/>
          <w:szCs w:val="18"/>
          <w:b w:val="1"/>
          <w:bCs w:val="1"/>
          <w:u w:val="single" w:color="auto"/>
          <w:color w:val="auto"/>
        </w:rPr>
        <w:t>Manipulation of Price</w:t>
      </w:r>
      <w:r>
        <w:rPr>
          <w:rFonts w:ascii="Times New Roman" w:cs="Times New Roman" w:eastAsia="Times New Roman" w:hAnsi="Times New Roman"/>
          <w:sz w:val="18"/>
          <w:szCs w:val="18"/>
          <w:color w:val="auto"/>
        </w:rPr>
        <w:t>. The Company has not, and to its Knowledge no Person acting on its behalf has, (i) taken,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Neither the Company nor any of its officers, directors or Affiliates will during the term of this Agreement, and, to the Knowledge of the Company, no Person acting on their behalf will during the term of this Agreement, take any of the actions referred to in the immediately preceding sentence.</w:t>
      </w:r>
    </w:p>
    <w:p>
      <w:pPr>
        <w:spacing w:after="0" w:line="182"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4.27.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The Company has complied and shall comply with all applicable federal and state securities laws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offer, issuance and sale of the Securities hereunder, including, without limitation, the applicable requirements of the Securities Act. Each Registration Statement, upon filing with the Commission and at the time it is declared effective by the Commission, shall satisfy all of the requirements of the Securities Act to register the resale of the Registrable Securities included therein by the Investor in accordance with the Registration Rights Agreement on a delayed or continuous basis under Rule 415 under the Securities Act at then-prevailing market prices, and not fixed prices. The Company is not an issuer identified in, or subject to, Rule 144(i).</w:t>
      </w:r>
    </w:p>
    <w:p>
      <w:pPr>
        <w:spacing w:after="0" w:line="182"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4.28. </w:t>
      </w:r>
      <w:r>
        <w:rPr>
          <w:rFonts w:ascii="Times New Roman" w:cs="Times New Roman" w:eastAsia="Times New Roman" w:hAnsi="Times New Roman"/>
          <w:sz w:val="18"/>
          <w:szCs w:val="18"/>
          <w:b w:val="1"/>
          <w:bCs w:val="1"/>
          <w:u w:val="single" w:color="auto"/>
          <w:color w:val="auto"/>
        </w:rPr>
        <w:t>Listing and Maintenance Requirements; DTC Eligibility</w:t>
      </w:r>
      <w:r>
        <w:rPr>
          <w:rFonts w:ascii="Times New Roman" w:cs="Times New Roman" w:eastAsia="Times New Roman" w:hAnsi="Times New Roman"/>
          <w:sz w:val="18"/>
          <w:szCs w:val="18"/>
          <w:color w:val="auto"/>
        </w:rPr>
        <w:t>. The Common Stock is registered pursuant to Section 12(b)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and the Company has taken no action designed to, or which to its Knowledge is likely to have the effect of, terminating the registration of the Common Stock pursuant to the Exchange Act nor has the Company received any notification that the Commission is currently contemplating terminating such registration. Except as disclosed in the Filed Commission Documents, the Company has not, in the twelve (12) months preceding the date hereof, received any written notice from any Person to the effect that the Company is not in compliance with the listing or maintenance requirements of the Trading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66" w:right="439" w:bottom="1440" w:gutter="0" w:footer="0" w:header="0"/>
        </w:sectPr>
      </w:pPr>
    </w:p>
    <w:bookmarkStart w:id="77" w:name="page78"/>
    <w:bookmarkEnd w:id="77"/>
    <w:p>
      <w:pPr>
        <w:ind w:right="2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Market. Except as disclosed in the Commission Documents, the Company is in compliance with all such listing and maintenance requirements of the Trading Market. The Common Stock is eligible for participation in the DTC book entry system and has shares on deposit at DTC for transfer electronically to third parties via DTC through its DWAC delivery system. The Company has not received notice from DTC to the effect that a suspension of, or restriction on, accepting additional deposits of the Common Stock, electronic trading or book-entry services by DTC with respect to the Common Stock is being imposed or is contemplated.</w:t>
      </w:r>
    </w:p>
    <w:p>
      <w:pPr>
        <w:spacing w:after="0" w:line="179"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4.29. </w:t>
      </w:r>
      <w:r>
        <w:rPr>
          <w:rFonts w:ascii="Times New Roman" w:cs="Times New Roman" w:eastAsia="Times New Roman" w:hAnsi="Times New Roman"/>
          <w:sz w:val="18"/>
          <w:szCs w:val="18"/>
          <w:b w:val="1"/>
          <w:bCs w:val="1"/>
          <w:u w:val="single" w:color="auto"/>
          <w:color w:val="auto"/>
        </w:rPr>
        <w:t>Application of Takeover Protections</w:t>
      </w:r>
      <w:r>
        <w:rPr>
          <w:rFonts w:ascii="Times New Roman" w:cs="Times New Roman" w:eastAsia="Times New Roman" w:hAnsi="Times New Roman"/>
          <w:sz w:val="18"/>
          <w:szCs w:val="18"/>
          <w:color w:val="auto"/>
        </w:rPr>
        <w:t>. The Company and its Board of Directors have taken all necessary action, if any, in order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render inapplicable any control share acquisition, business combination, poison pill (including any distribution under a rights agreement) or other similar anti-takeover provision under the Company’s Charter or the laws of the State of Delaware that is or could become applicable to the Investor as a result of the Investor and the Company fulfilling their respective obligations or exercising their respective rights under the Transaction Documents (as applicable), including, without limitation, as a result of the Company’s issuance of the Securities and the Investor’s ownership of the Securities.</w:t>
      </w:r>
    </w:p>
    <w:p>
      <w:pPr>
        <w:spacing w:after="0" w:line="179"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4.30. </w:t>
      </w:r>
      <w:r>
        <w:rPr>
          <w:rFonts w:ascii="Times New Roman" w:cs="Times New Roman" w:eastAsia="Times New Roman" w:hAnsi="Times New Roman"/>
          <w:sz w:val="18"/>
          <w:szCs w:val="18"/>
          <w:b w:val="1"/>
          <w:bCs w:val="1"/>
          <w:u w:val="single" w:color="auto"/>
          <w:color w:val="auto"/>
        </w:rPr>
        <w:t>Foreign Corrupt Practices</w:t>
      </w:r>
      <w:r>
        <w:rPr>
          <w:rFonts w:ascii="Times New Roman" w:cs="Times New Roman" w:eastAsia="Times New Roman" w:hAnsi="Times New Roman"/>
          <w:sz w:val="18"/>
          <w:szCs w:val="18"/>
          <w:color w:val="auto"/>
        </w:rPr>
        <w:t>. Neither the Company or Subsidiary, nor to the Knowledge of the Company, any agent or other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acting on behalf of the Company,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made by any Person acting on its behalf of which the Company is aware) which is in violation of law, or (iv) violated in any material respect any provision of the Foreign Corrupt Practices Act of 1977, as amended (the “</w:t>
      </w:r>
      <w:r>
        <w:rPr>
          <w:rFonts w:ascii="Times New Roman" w:cs="Times New Roman" w:eastAsia="Times New Roman" w:hAnsi="Times New Roman"/>
          <w:sz w:val="18"/>
          <w:szCs w:val="18"/>
          <w:b w:val="1"/>
          <w:bCs w:val="1"/>
          <w:i w:val="1"/>
          <w:iCs w:val="1"/>
          <w:color w:val="auto"/>
        </w:rPr>
        <w:t>FCPA</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4.31. </w:t>
      </w:r>
      <w:r>
        <w:rPr>
          <w:rFonts w:ascii="Times New Roman" w:cs="Times New Roman" w:eastAsia="Times New Roman" w:hAnsi="Times New Roman"/>
          <w:sz w:val="18"/>
          <w:szCs w:val="18"/>
          <w:b w:val="1"/>
          <w:bCs w:val="1"/>
          <w:u w:val="single" w:color="auto"/>
          <w:color w:val="auto"/>
        </w:rPr>
        <w:t>Money Laundering Laws</w:t>
      </w:r>
      <w:r>
        <w:rPr>
          <w:rFonts w:ascii="Times New Roman" w:cs="Times New Roman" w:eastAsia="Times New Roman" w:hAnsi="Times New Roman"/>
          <w:sz w:val="18"/>
          <w:szCs w:val="18"/>
          <w:color w:val="auto"/>
        </w:rPr>
        <w:t>. The operations of the Company and its Subsidiaries are and have been conducted at all times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i w:val="1"/>
          <w:i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Subsidiary with respect to the Money Laundering Laws is pending or, to the Knowledge of the Company, threatened.</w:t>
      </w:r>
    </w:p>
    <w:p>
      <w:pPr>
        <w:spacing w:after="0" w:line="18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4.32. </w:t>
      </w:r>
      <w:r>
        <w:rPr>
          <w:rFonts w:ascii="Times New Roman" w:cs="Times New Roman" w:eastAsia="Times New Roman" w:hAnsi="Times New Roman"/>
          <w:sz w:val="18"/>
          <w:szCs w:val="18"/>
          <w:b w:val="1"/>
          <w:bCs w:val="1"/>
          <w:u w:val="single" w:color="auto"/>
          <w:color w:val="auto"/>
        </w:rPr>
        <w:t>OFAC</w:t>
      </w:r>
      <w:r>
        <w:rPr>
          <w:rFonts w:ascii="Times New Roman" w:cs="Times New Roman" w:eastAsia="Times New Roman" w:hAnsi="Times New Roman"/>
          <w:sz w:val="18"/>
          <w:szCs w:val="18"/>
          <w:color w:val="auto"/>
        </w:rPr>
        <w:t>. Neither the Company nor any of its Subsidiaries nor, to the Knowledge of the Company, any director, officer,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or Affiliate of the Company or any of its Subsidiaries (i) is currently subject to any sanctions administered by the U.S. government, including the Office of Foreign Assets Control of the U.S. Treasury Department (“</w:t>
      </w:r>
      <w:r>
        <w:rPr>
          <w:rFonts w:ascii="Times New Roman" w:cs="Times New Roman" w:eastAsia="Times New Roman" w:hAnsi="Times New Roman"/>
          <w:sz w:val="18"/>
          <w:szCs w:val="18"/>
          <w:b w:val="1"/>
          <w:bCs w:val="1"/>
          <w:i w:val="1"/>
          <w:iCs w:val="1"/>
          <w:color w:val="auto"/>
        </w:rPr>
        <w:t>OFAC</w:t>
      </w:r>
      <w:r>
        <w:rPr>
          <w:rFonts w:ascii="Times New Roman" w:cs="Times New Roman" w:eastAsia="Times New Roman" w:hAnsi="Times New Roman"/>
          <w:sz w:val="18"/>
          <w:szCs w:val="18"/>
          <w:color w:val="auto"/>
        </w:rPr>
        <w:t>”) or the U.S. Department of State, the United Nations Security Council, the European Union, or the United Kingdom (including sanctions administered or controlled by Her Majesty’s Treasury) (collectively, “</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and such persons, “</w:t>
      </w:r>
      <w:r>
        <w:rPr>
          <w:rFonts w:ascii="Times New Roman" w:cs="Times New Roman" w:eastAsia="Times New Roman" w:hAnsi="Times New Roman"/>
          <w:sz w:val="18"/>
          <w:szCs w:val="18"/>
          <w:b w:val="1"/>
          <w:bCs w:val="1"/>
          <w:i w:val="1"/>
          <w:iCs w:val="1"/>
          <w:color w:val="auto"/>
        </w:rPr>
        <w:t>Sanctioned Persons</w:t>
      </w:r>
      <w:r>
        <w:rPr>
          <w:rFonts w:ascii="Times New Roman" w:cs="Times New Roman" w:eastAsia="Times New Roman" w:hAnsi="Times New Roman"/>
          <w:sz w:val="18"/>
          <w:szCs w:val="18"/>
          <w:color w:val="auto"/>
        </w:rPr>
        <w:t>”) or other relevant sanctions authority, and (ii) will use the proceeds of this offering, directly or indirectly, to fund or facilitate the activities of any Sanctioned Persons or entity or any country, region or territory that is, at the time of such funding or facilitation, subject to Sanctions or any person or entity located in a country, region or territory subject to Sanctions (including any administered or enforced by OFAC or the U.S. Department of State), the United Nations Security Council, the European Union, or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78" w:name="page79"/>
    <w:bookmarkEnd w:id="7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Kingdom (including sanctions administered or controlled by Her Majesty’s Treasury). Neither the Company nor any of its Subsidiaries nor, to the Knowledge of the Company, any director, officer, agent, employee or Affiliate of the Company or any of its Subsidiaries, is a Person that is, or is 50% or more owned or otherwise controlled by a Person that is: (i) the subject of any Sanctions; or (ii) located, organized or resident in a country, region or territory that is, or whose government is, the subject of Sanctions that broadly prohibit dealings with that country, region or territory (including at the time of this agreement, Cuba, Iran, North Korea, Syria and Crimea) (collectively, “</w:t>
      </w:r>
      <w:r>
        <w:rPr>
          <w:rFonts w:ascii="Times New Roman" w:cs="Times New Roman" w:eastAsia="Times New Roman" w:hAnsi="Times New Roman"/>
          <w:sz w:val="18"/>
          <w:szCs w:val="18"/>
          <w:b w:val="1"/>
          <w:bCs w:val="1"/>
          <w:i w:val="1"/>
          <w:iCs w:val="1"/>
          <w:color w:val="auto"/>
        </w:rPr>
        <w:t>Sanctioned Countries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Sanctioned Country</w:t>
      </w:r>
      <w:r>
        <w:rPr>
          <w:rFonts w:ascii="Times New Roman" w:cs="Times New Roman" w:eastAsia="Times New Roman" w:hAnsi="Times New Roman"/>
          <w:sz w:val="18"/>
          <w:szCs w:val="18"/>
          <w:color w:val="auto"/>
        </w:rPr>
        <w:t>”). The Company and its Subsidiaries have not engaged in any dealings or transactions with or for the benefit of Sanctioned Persons, or with or in a Sanctioned Country, in the preceding three years, nor does the Company or any of its Subsidiaries have any plans to deal or transact with Sanctioned Persons, or with or in Sanctioned Countries.</w:t>
      </w:r>
    </w:p>
    <w:p>
      <w:pPr>
        <w:spacing w:after="0" w:line="188"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4.33. </w:t>
      </w:r>
      <w:r>
        <w:rPr>
          <w:rFonts w:ascii="Times New Roman" w:cs="Times New Roman" w:eastAsia="Times New Roman" w:hAnsi="Times New Roman"/>
          <w:sz w:val="18"/>
          <w:szCs w:val="18"/>
          <w:b w:val="1"/>
          <w:bCs w:val="1"/>
          <w:u w:val="single" w:color="auto"/>
          <w:color w:val="auto"/>
        </w:rPr>
        <w:t>Information Technology; Compliance with Data Privacy Laws</w:t>
      </w:r>
      <w:r>
        <w:rPr>
          <w:rFonts w:ascii="Times New Roman" w:cs="Times New Roman" w:eastAsia="Times New Roman" w:hAnsi="Times New Roman"/>
          <w:sz w:val="18"/>
          <w:szCs w:val="18"/>
          <w:color w:val="auto"/>
        </w:rPr>
        <w:t>. To the Company’s Knowledge and except as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disclosed under Commission Documents, (i) there have been no material breaches or violations of (or unauthorized access to) the Company, or the Subsidiaries’ information technology assets and equipment, computers, systems, networks, hardware, software, websites, applications and databases (collectively, the “</w:t>
      </w:r>
      <w:r>
        <w:rPr>
          <w:rFonts w:ascii="Times New Roman" w:cs="Times New Roman" w:eastAsia="Times New Roman" w:hAnsi="Times New Roman"/>
          <w:sz w:val="18"/>
          <w:szCs w:val="18"/>
          <w:b w:val="1"/>
          <w:bCs w:val="1"/>
          <w:i w:val="1"/>
          <w:iCs w:val="1"/>
          <w:color w:val="auto"/>
        </w:rPr>
        <w:t>IT Systems</w:t>
      </w:r>
      <w:r>
        <w:rPr>
          <w:rFonts w:ascii="Times New Roman" w:cs="Times New Roman" w:eastAsia="Times New Roman" w:hAnsi="Times New Roman"/>
          <w:sz w:val="18"/>
          <w:szCs w:val="18"/>
          <w:color w:val="auto"/>
        </w:rPr>
        <w:t>”) or any personal, personally identifiable, sensitive, confidential or regulated data (collectively,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processed or stored by or on behalf of the Company or the Subsidiaries, except for those that have been remedied without material cost or liability or the duty to notify any regulator, nor are there any pending internal investigations of the Company or the Subsidiaries relating to the same and (ii) the Company and the Subsidiaries are presently in compliance in all material respects with all Applicable Laws, statutes and regulations and contractual obligations relating to the privacy and security of IT Systems and Personal Data.</w:t>
      </w:r>
    </w:p>
    <w:p>
      <w:pPr>
        <w:spacing w:after="0" w:line="185" w:lineRule="exact"/>
        <w:rPr>
          <w:sz w:val="20"/>
          <w:szCs w:val="20"/>
          <w:color w:val="auto"/>
        </w:rPr>
      </w:pPr>
    </w:p>
    <w:p>
      <w:pPr>
        <w:ind w:right="2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4.34. </w:t>
      </w:r>
      <w:r>
        <w:rPr>
          <w:rFonts w:ascii="Times New Roman" w:cs="Times New Roman" w:eastAsia="Times New Roman" w:hAnsi="Times New Roman"/>
          <w:sz w:val="18"/>
          <w:szCs w:val="18"/>
          <w:b w:val="1"/>
          <w:bCs w:val="1"/>
          <w:u w:val="single" w:color="auto"/>
          <w:color w:val="auto"/>
        </w:rPr>
        <w:t>No Disqualification Events</w:t>
      </w:r>
      <w:r>
        <w:rPr>
          <w:rFonts w:ascii="Times New Roman" w:cs="Times New Roman" w:eastAsia="Times New Roman" w:hAnsi="Times New Roman"/>
          <w:sz w:val="18"/>
          <w:szCs w:val="18"/>
          <w:color w:val="auto"/>
        </w:rPr>
        <w:t>. None of the Company, any of its predecessors, any affiliated issuer, any director,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officer of the Company participating in the offering contemplated hereby,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8"/>
          <w:szCs w:val="18"/>
          <w:b w:val="1"/>
          <w:bCs w:val="1"/>
          <w:i w:val="1"/>
          <w:iCs w:val="1"/>
          <w:color w:val="auto"/>
        </w:rPr>
        <w:t>Issuer Covered Person</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b w:val="1"/>
          <w:bCs w:val="1"/>
          <w:i w:val="1"/>
          <w:iCs w:val="1"/>
          <w:color w:val="auto"/>
        </w:rPr>
        <w:t>Disqualification Event</w:t>
      </w:r>
      <w:r>
        <w:rPr>
          <w:rFonts w:ascii="Times New Roman" w:cs="Times New Roman" w:eastAsia="Times New Roman" w:hAnsi="Times New Roman"/>
          <w:sz w:val="18"/>
          <w:szCs w:val="18"/>
          <w:color w:val="auto"/>
        </w:rPr>
        <w:t>”), except for a Disqualification Event covered by Rule 506(d)(2) or (d)(3) under the Securities Act. The Company have exercised reasonable care to determine whether any Issuer Covered Person is subject to a Disqualification Event.</w:t>
      </w:r>
    </w:p>
    <w:p>
      <w:pPr>
        <w:spacing w:after="0" w:line="183"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4.35. </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color w:val="auto"/>
        </w:rPr>
        <w:t>. Except as set forth in the Commission Documents, the Company is not a party to an “employee benefit plan,” as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3(3) of the Employee Retirement Income Security Act of 1974, as amended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which: (i) is subject to Title IV of ERISA and (ii) is or was at any time maintained, administered or contributed to by the Company or any of its ERISA Affiliates (as defined hereafter). These plans are referred to collectively herein as the “Employee Plans.” An “ERISA Affiliate” of any person or entity means any other person or entity which, together with that Person or entity, could be treated as a single employer under Section 414(b), (c), (m) or (o) of the Code. Each Employee Plan has been maintained in material compliance with its terms and the requirements of Applicable Law. Except as set forth or incorporated by reference in the Registration Statement and the Prospectus, there is no liability in respect of post-retirement health and medical benefits for retired employees of the Company or any of its ERISA Affiliates, other than medical benefits required to be continued under Applicable Law. No “prohibited transaction” (as defined in either Section 406 of ERISA or Section 4975 of the Code) has occurred with respect to any Employee Plan that could reasonably be expected to result in a Material Adverse Effect; and each Employee Plan that is intended to be qualified under Section 401(a) of the Code is so qualified, and nothing has occurred, whether by action or by failure to act, which could cause the loss of such qualification.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79" w:name="page80"/>
    <w:bookmarkEnd w:id="79"/>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4.36. </w:t>
      </w:r>
      <w:r>
        <w:rPr>
          <w:rFonts w:ascii="Times New Roman" w:cs="Times New Roman" w:eastAsia="Times New Roman" w:hAnsi="Times New Roman"/>
          <w:sz w:val="18"/>
          <w:szCs w:val="18"/>
          <w:b w:val="1"/>
          <w:bCs w:val="1"/>
          <w:u w:val="single" w:color="auto"/>
          <w:color w:val="auto"/>
        </w:rPr>
        <w:t>No Other Similar Agreement</w:t>
      </w:r>
      <w:r>
        <w:rPr>
          <w:rFonts w:ascii="Times New Roman" w:cs="Times New Roman" w:eastAsia="Times New Roman" w:hAnsi="Times New Roman"/>
          <w:sz w:val="18"/>
          <w:szCs w:val="18"/>
          <w:color w:val="auto"/>
        </w:rPr>
        <w:t>. Except as disclosed in the Commission Documents, other than the Transaction Documents to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is a party, the Company is not a party to any agreement that is (or that contains any term, obligation or restriction that is) in effect on the date hereof with any Person, other than the Investor, relating to any “at the market offering,” “equity line of credit” or any other similar continuous offering in which the Company may offer, issue or sell Common Stock or Common Stock Equivalents at a future determined price.</w:t>
      </w:r>
    </w:p>
    <w:p>
      <w:pPr>
        <w:spacing w:after="0" w:line="176"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4.37. </w:t>
      </w:r>
      <w:r>
        <w:rPr>
          <w:rFonts w:ascii="Times New Roman" w:cs="Times New Roman" w:eastAsia="Times New Roman" w:hAnsi="Times New Roman"/>
          <w:sz w:val="18"/>
          <w:szCs w:val="18"/>
          <w:b w:val="1"/>
          <w:bCs w:val="1"/>
          <w:u w:val="single" w:color="auto"/>
          <w:color w:val="auto"/>
        </w:rPr>
        <w:t>Acknowledgement Regarding Investor’s Acquisition of Securities</w:t>
      </w:r>
      <w:r>
        <w:rPr>
          <w:rFonts w:ascii="Times New Roman" w:cs="Times New Roman" w:eastAsia="Times New Roman" w:hAnsi="Times New Roman"/>
          <w:sz w:val="18"/>
          <w:szCs w:val="18"/>
          <w:color w:val="auto"/>
        </w:rPr>
        <w:t>. The Company acknowledges and agrees that the Investor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acting solely in the capacity of an arm’s-length purchaser with respect to this Agreement and the transactions contemplated by the Transaction Documents. The Company further acknowledges that the Investor is not acting as a financial advisor or fiduciary of the Company (or in any similar capacity) with respect to this Agreement and the transactions contemplated by the Transaction Documents, and any advice given by the Investor or any of its representatives or agents in connection therewith is merely incidental to the Investor’s acquisition of the Securities. The Company further represents to the Investor that the Company’s decision to enter into the Transaction Documents to which it is a party has been based solely on the independent evaluation of the transactions contemplated thereby by the Company and its representatives. The Company acknowledges and agrees that the Investor has not made and does not make any representations or warranties with respect to the transactions contemplated by this Agreement other than those specifically set forth in Article III.</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COVENANTS</w:t>
      </w:r>
    </w:p>
    <w:p>
      <w:pPr>
        <w:spacing w:after="0" w:line="207" w:lineRule="exact"/>
        <w:rPr>
          <w:sz w:val="20"/>
          <w:szCs w:val="20"/>
          <w:color w:val="auto"/>
        </w:rPr>
      </w:pPr>
    </w:p>
    <w:p>
      <w:pPr>
        <w:jc w:val="both"/>
        <w:ind w:right="320" w:firstLine="440"/>
        <w:spacing w:after="0" w:line="266" w:lineRule="auto"/>
        <w:rPr>
          <w:sz w:val="20"/>
          <w:szCs w:val="20"/>
          <w:color w:val="auto"/>
        </w:rPr>
      </w:pPr>
      <w:r>
        <w:rPr>
          <w:rFonts w:ascii="Times New Roman" w:cs="Times New Roman" w:eastAsia="Times New Roman" w:hAnsi="Times New Roman"/>
          <w:sz w:val="18"/>
          <w:szCs w:val="18"/>
          <w:color w:val="auto"/>
        </w:rPr>
        <w:t>The Company covenants with the Investor, and the Investor covenants with the Company, as follows, which covenants of one party are for the benefit of the other party during the Investment Period (and with respect to the Company for the period following the termination of this Agreement specified in Section 8.3 pursuant to and in accordance with Section 8.3):</w:t>
      </w:r>
    </w:p>
    <w:p>
      <w:pPr>
        <w:spacing w:after="0" w:line="172"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Securities Compliance</w:t>
      </w:r>
      <w:r>
        <w:rPr>
          <w:rFonts w:ascii="Times New Roman" w:cs="Times New Roman" w:eastAsia="Times New Roman" w:hAnsi="Times New Roman"/>
          <w:sz w:val="18"/>
          <w:szCs w:val="18"/>
          <w:color w:val="auto"/>
        </w:rPr>
        <w:t>. The Company shall notify the Commission and the Trading Market, if and as applicable,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respective rules and regulations, of the transactions contemplated by the Transaction Documents, and shall take all necessary action, undertake all proceedings and obtain all registrations, permits, consents and approvals for the legal and valid issuance of the Securities to the Investor in accordance with the terms of the Transaction Documents, as applicable.</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Reservation of Common Stock</w:t>
      </w:r>
      <w:r>
        <w:rPr>
          <w:rFonts w:ascii="Times New Roman" w:cs="Times New Roman" w:eastAsia="Times New Roman" w:hAnsi="Times New Roman"/>
          <w:sz w:val="18"/>
          <w:szCs w:val="18"/>
          <w:color w:val="auto"/>
        </w:rPr>
        <w:t>. The Company has available and the Company shall reserve and keep available at all times, free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preemptive and other similar rights of stockholders, sufficient shares of authorized but unissued shares of Common Stock to enable the Company to timely effect the issuance, sale and delivery of Shares pursuant to this Agreement. As of the date of this Agreement the Company has reserved, and as of the Commencement Date shall have continued to reserve, out of its authorized and unissued Common Stock, sufficient shares of Common Stock solely for the purpose of effecting Fixed Purchases, VWAP Purchases and Additional VWAP Purchases under this Agreement, and [ ] shares of Common Stock solely for the purpose of issuing the Commitment Shares. The number of shares of Common Stock so reserved for the purpose of effecting Fixed Purchases, VWAP Purchases and Additional VWAP Purchases under this Agreement may be increased from time to time by the Company from and after the Commencement Date, and such number of reserved shares may be reduced from and after the Commencement Date only by the number of Shares actually issued, sold and delivered to the Investor pursuant to any Fixed Purchase, VWAP Purchase and Additional VWAP Purchase effected from and after the Commencement Date pursuant to this Agreement.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6" w:right="459" w:bottom="1440" w:gutter="0" w:footer="0" w:header="0"/>
        </w:sectPr>
      </w:pPr>
    </w:p>
    <w:bookmarkStart w:id="80" w:name="page81"/>
    <w:bookmarkEnd w:id="80"/>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5.3. </w:t>
      </w:r>
      <w:r>
        <w:rPr>
          <w:rFonts w:ascii="Times New Roman" w:cs="Times New Roman" w:eastAsia="Times New Roman" w:hAnsi="Times New Roman"/>
          <w:sz w:val="18"/>
          <w:szCs w:val="18"/>
          <w:b w:val="1"/>
          <w:bCs w:val="1"/>
          <w:u w:val="single" w:color="auto"/>
          <w:color w:val="auto"/>
        </w:rPr>
        <w:t>Registration and Listing</w:t>
      </w:r>
      <w:r>
        <w:rPr>
          <w:rFonts w:ascii="Times New Roman" w:cs="Times New Roman" w:eastAsia="Times New Roman" w:hAnsi="Times New Roman"/>
          <w:sz w:val="18"/>
          <w:szCs w:val="18"/>
          <w:color w:val="auto"/>
        </w:rPr>
        <w:t>. The Company shall use its commercially reasonable efforts to cause the Common Stock to continue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as a class of securities under Sections 12(b) of the Exchange Act, and to comply with its reporting and filing obligations under the Exchange Act, and shall not take any action or file any document (whether or not permitted by the Securities Act or the Exchange Act) to terminate or suspend such registration or to terminate or suspend its reporting and filing obligations under the Exchange Act or Securities Act, except as permitted herein. The Company shall use its commercially reasonable efforts to continue the listing and trading of its Common Stock and the listing of the Securities purchased by the Investor hereunder on the Trading Market and to comply with the Company’s reporting, filing and other obligations under the rules and regulations of the Trading Market. The Company shall not take any action which could be reasonably expected to result in the delisting or suspension of the Common Stock on the Trading Market. If the Company receives any final and non-appealable notice that the listing or quotation of the Common Stock on the Trading Market shall be terminated on a date certain, the Company shall promptly (and in any case within 24 hours) notify the Investor of such fact in writing and shall use its commercially reasonable efforts to cause the Common Stock to be listed or quoted on another Eligible Market.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Compliance with Laws.</w:t>
      </w:r>
    </w:p>
    <w:p>
      <w:pPr>
        <w:spacing w:after="0" w:line="229" w:lineRule="exact"/>
        <w:rPr>
          <w:sz w:val="20"/>
          <w:szCs w:val="20"/>
          <w:color w:val="auto"/>
        </w:rPr>
      </w:pPr>
    </w:p>
    <w:p>
      <w:pPr>
        <w:ind w:firstLine="991"/>
        <w:spacing w:after="0" w:line="269" w:lineRule="auto"/>
        <w:rPr>
          <w:sz w:val="20"/>
          <w:szCs w:val="20"/>
          <w:color w:val="auto"/>
        </w:rPr>
      </w:pPr>
      <w:r>
        <w:rPr>
          <w:rFonts w:ascii="Times New Roman" w:cs="Times New Roman" w:eastAsia="Times New Roman" w:hAnsi="Times New Roman"/>
          <w:sz w:val="17"/>
          <w:szCs w:val="17"/>
          <w:color w:val="auto"/>
        </w:rPr>
        <w:t>During the Investment Period, (a) the Company shall comply, and the Company shall cause each Subsidiary to comply, with all laws, rules, regulations and orders applicable to the business and operations of the Company and the Subsidiaries, except as would not have a Material Adverse Effect, and (b) the Company shall comply with all applicable provisions of the Securities Act and the Exchange Act, including Regulation M thereunder, applicable state securities or “Blue Sky” laws, and applicable listing rules of the Trading Market or Eligible Market, except as would not, individually or in the aggregate, prohibit or otherwise interfere with the ability of the Company to enter into and perform its obligations under this Agreement in any material respect or for Investor to conduct resales of Securities under the Registration Statement in any material respect. Without limiting the foregoing, none of the Company, or any of the Subsidiaries, nor to the Knowledge of the Company, any of their respective directors, officers, agents, employees or any other Persons acting on their behalf shall, in connection with the operation of the respective businesses of the Company and the Subsidiaries, (1) use any corporate funds for unlawful contributions, payments, gifts or entertainment or to make any unlawful expenditures relating to political activity to government officials, candidates or members of political parties or organizations, (2) pay, accept or receive any unlawful contributions, payments, expenditures or gifts, or (3) violate or operate in noncompliance with any export restrictions, anti-boycott regulations, embargo regulations or other applicable domestic or foreign laws and regulations, including, without limitation, the FCPA and the Money Laundering Laws.</w:t>
      </w:r>
    </w:p>
    <w:p>
      <w:pPr>
        <w:spacing w:after="0" w:line="179"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The Investor shall comply with all laws, rules, regulations and orders applicable to the performance by it of its obligations under this Agreement and its investment in the Securities, except as would not, individually or in the aggregate, prohibit or otherwise interfere with the ability of the Investor to enter into and perform its obligations under this Agreement in any material respect. Without limiting the foregoing, the Investor shall comply with all applicable provisions of the Securities Act and the Exchange Act, including Regulation M thereunder, and all applicable state securities or “Blue Sky” laws.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6" w:right="459" w:bottom="1440" w:gutter="0" w:footer="0" w:header="0"/>
        </w:sectPr>
      </w:pPr>
    </w:p>
    <w:bookmarkStart w:id="81" w:name="page82"/>
    <w:bookmarkEnd w:id="81"/>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5.5. </w:t>
      </w:r>
      <w:r>
        <w:rPr>
          <w:rFonts w:ascii="Times New Roman" w:cs="Times New Roman" w:eastAsia="Times New Roman" w:hAnsi="Times New Roman"/>
          <w:sz w:val="18"/>
          <w:szCs w:val="18"/>
          <w:b w:val="1"/>
          <w:bCs w:val="1"/>
          <w:u w:val="single" w:color="auto"/>
          <w:color w:val="auto"/>
        </w:rPr>
        <w:t>Keeping of Records and Books of Account; Due Diligence.</w:t>
      </w:r>
    </w:p>
    <w:p>
      <w:pPr>
        <w:spacing w:after="0" w:line="229" w:lineRule="exact"/>
        <w:rPr>
          <w:sz w:val="20"/>
          <w:szCs w:val="20"/>
          <w:color w:val="auto"/>
        </w:rPr>
      </w:pPr>
    </w:p>
    <w:p>
      <w:pPr>
        <w:jc w:val="both"/>
        <w:ind w:left="4" w:right="100" w:firstLine="991"/>
        <w:spacing w:after="0" w:line="266" w:lineRule="auto"/>
        <w:rPr>
          <w:sz w:val="20"/>
          <w:szCs w:val="20"/>
          <w:color w:val="auto"/>
        </w:rPr>
      </w:pPr>
      <w:r>
        <w:rPr>
          <w:rFonts w:ascii="Times New Roman" w:cs="Times New Roman" w:eastAsia="Times New Roman" w:hAnsi="Times New Roman"/>
          <w:sz w:val="18"/>
          <w:szCs w:val="18"/>
          <w:color w:val="auto"/>
        </w:rPr>
        <w:t>The Investor and the Company shall each maintain records showing the remaining Total Purchase Commitment, the remaining Aggregate Limit and the dates and Fixed Purchase Share Amount, VWAP Purchase Share Amount and Additional VWAP Purchase Share Amount for each Fixed Purchase, each VWAP Purchase and each Additional VWAP Purchase, respectively.</w:t>
      </w:r>
    </w:p>
    <w:p>
      <w:pPr>
        <w:spacing w:after="0" w:line="176"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The Investor shall have the right, from time to time as the Investor may reasonably deem appropriate, and upon reasonable advance notice to the Company, to perform reasonable due diligence on the Company during normal business hours;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the Closing Date, the Investor’s continued due diligence of the Company shall not be a condition precedent to, or otherwise impair, delay or modify in any respect, the Company’s right to deliver to the Investor any Fixed Purchase Notice, any VWAP Purchase Notice and any Additional VWAP Purchase Notice, or the Investor’s obligation to purchase the Shares subject thereto, pursuant to this Agreement. The Company and its officers and employees shall provide information on a reasonably timely basis and otherwise reasonably cooperate with the Investor in connection with any reasonable request by the Investor related to the Investor’s due diligence of the Company.</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No Frustration; Prohibition of Certain Issuances Before Settlement of Purchases; No Similar Transactions.</w:t>
      </w:r>
    </w:p>
    <w:p>
      <w:pPr>
        <w:spacing w:after="0" w:line="225" w:lineRule="exact"/>
        <w:rPr>
          <w:sz w:val="20"/>
          <w:szCs w:val="20"/>
          <w:color w:val="auto"/>
        </w:rPr>
      </w:pPr>
    </w:p>
    <w:p>
      <w:pPr>
        <w:ind w:left="4" w:right="20" w:firstLine="991"/>
        <w:spacing w:after="0" w:line="274" w:lineRule="auto"/>
        <w:rPr>
          <w:sz w:val="20"/>
          <w:szCs w:val="20"/>
          <w:color w:val="auto"/>
        </w:rPr>
      </w:pPr>
      <w:r>
        <w:rPr>
          <w:rFonts w:ascii="Times New Roman" w:cs="Times New Roman" w:eastAsia="Times New Roman" w:hAnsi="Times New Roman"/>
          <w:sz w:val="17"/>
          <w:szCs w:val="17"/>
          <w:b w:val="1"/>
          <w:bCs w:val="1"/>
          <w:u w:val="single" w:color="auto"/>
          <w:color w:val="auto"/>
        </w:rPr>
        <w:t>No Frustration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shall not enter into, announce or recommend to the Company’s stockholders any agreement, plan,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arrangement or transaction in or of which the terms thereof would restrict, materially delay, conflict with or impair the ability or right of the Company to perform its obligations under the Transaction Documents to which it is a party, including, without limitation, the obligation of the Company to deliver</w:t>
      </w:r>
    </w:p>
    <w:p>
      <w:pPr>
        <w:spacing w:after="0" w:line="1" w:lineRule="exact"/>
        <w:rPr>
          <w:sz w:val="20"/>
          <w:szCs w:val="20"/>
          <w:color w:val="auto"/>
        </w:rPr>
      </w:pPr>
    </w:p>
    <w:p>
      <w:pPr>
        <w:ind w:left="4" w:right="100" w:hanging="4"/>
        <w:spacing w:after="0" w:line="251" w:lineRule="auto"/>
        <w:tabs>
          <w:tab w:leader="none" w:pos="21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 Shares to the Investor or its designee not later than 4:00 p.m. (New York City time) on the Effective Date in accordance with Section 9(ii) of this Agreement, (ii) the Shares to the Investor in respect of a Fixed Purchase as DWAC Shares not later than 10:00 a.m., New York City time, on the Trading Day immediately following the applicable Fixed Purchase Date for such Fixed Purchase in accordance with Section 2.1 of this Agreement, (iii) the Shares to the Investor in respect of a VWAP Purchase as DWAC Shares not later than 10:00 a.m., New York City time, on the Trading Day immediately following the applicable VWAP Purchase Date for such VWAP Purchase in accordance with Section 2.2 of this Agreement, and (iv) Shares to the Investor in respect of an Additional VWAP Purchase as DWAC Shares not later than 10:00 a.m., New York City time, on the Trading Day immediately following the applicable Additional VWAP Purchase Date for such Additional VWAP Purchase in accordance with Section 2.3 of this Agreement. For the avoidance of doubt, nothing in this Section 5.6(i) shall in any way limit the Company’s right to terminate this Agreement in accordance with Section 7.2 (subject in all cases to Section 7.3).</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66" w:right="459" w:bottom="1440" w:gutter="0" w:footer="0" w:header="0"/>
        </w:sectPr>
      </w:pPr>
    </w:p>
    <w:bookmarkStart w:id="82" w:name="page83"/>
    <w:bookmarkEnd w:id="82"/>
    <w:p>
      <w:pPr>
        <w:ind w:left="4" w:firstLine="991"/>
        <w:spacing w:after="0" w:line="244" w:lineRule="auto"/>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Dilutive Issuances During Reference Periods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Neither the Company nor any Subsidiary shall issue, sell or grant any right, option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warrant to purchase, or issue, sell or grant any right to reprice (or reset the purchase price therefor), or otherwise dispose of for cash (or enter into any agreement, plan or arrangement contemplating any of the foregoing, or seek to utilize any existing agreement, plan or arrangement to effect any of the foregoing), or announce any offer, issuance, sale or grant of any option or warrant to purchase or other disposition for cash (or any agreement, plan or arrangement therefor), at any time during the following periods: (i) with respect to each Fixed Purchase for which the Company has delivered to the Investor a Fixed Purchase Notice, the period beginning on the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7"/>
          <w:szCs w:val="17"/>
          <w:color w:val="auto"/>
        </w:rPr>
        <w:t>) Trading Day immediately preceding the applicable Fixed Purchase Date for such Fixed Purchase and ending on the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7"/>
          <w:szCs w:val="17"/>
          <w:color w:val="auto"/>
        </w:rPr>
        <w:t>) Trading Day next following the Trading Day on which the Investor has delivered to the Company the applicable total purchase price for all of the Shares to be purchased by the Investor in such Fixed Purchase pursuant to Section 2.1, and (ii) with respect to each VWAP Purchase and Additional VWAP Purchase under this Agreement for which the Company has delivered to the Investor a VWAP Purchase Notice and (if applicable) an Additional VWAP Purchase Notice, respectively, the period beginning on the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7"/>
          <w:szCs w:val="17"/>
          <w:color w:val="auto"/>
        </w:rPr>
        <w:t>) Trading Day immediately preceding the applicable VWAP Purchase Date for such VWAP Purchase (and, with respect to each Additional VWAP Purchase effected on the same Trading Day as such VWAP Purchase Date, the applicable Additional VWAP Purchase Date, if any, for such Additional VWAP Purchase) and ending on the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7"/>
          <w:szCs w:val="17"/>
          <w:color w:val="auto"/>
        </w:rPr>
        <w:t>) Trading Day next following the Trading Day on which the Investor has delivered to the Company the applicable total purchase price for all of the Shares to be purchased by the Investor in such VWAP Purchase, and the applicable total purchase price of all of the Shares to be purchased by the Investor in such Additional VWAP Purchase(s), as applicable, pursuant to Section 2.2 and Section 2.3 (each such period referred to in clause (i) and</w:t>
      </w:r>
    </w:p>
    <w:p>
      <w:pPr>
        <w:spacing w:after="0" w:line="1" w:lineRule="exact"/>
        <w:rPr>
          <w:sz w:val="20"/>
          <w:szCs w:val="20"/>
          <w:color w:val="auto"/>
        </w:rPr>
      </w:pPr>
    </w:p>
    <w:p>
      <w:pPr>
        <w:ind w:left="4" w:hanging="4"/>
        <w:spacing w:after="0" w:line="251" w:lineRule="auto"/>
        <w:tabs>
          <w:tab w:leader="none" w:pos="26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 “</w:t>
      </w:r>
      <w:r>
        <w:rPr>
          <w:rFonts w:ascii="Times New Roman" w:cs="Times New Roman" w:eastAsia="Times New Roman" w:hAnsi="Times New Roman"/>
          <w:sz w:val="18"/>
          <w:szCs w:val="18"/>
          <w:b w:val="1"/>
          <w:bCs w:val="1"/>
          <w:i w:val="1"/>
          <w:iCs w:val="1"/>
          <w:color w:val="auto"/>
        </w:rPr>
        <w:t>Reference Period</w:t>
      </w:r>
      <w:r>
        <w:rPr>
          <w:rFonts w:ascii="Times New Roman" w:cs="Times New Roman" w:eastAsia="Times New Roman" w:hAnsi="Times New Roman"/>
          <w:sz w:val="18"/>
          <w:szCs w:val="18"/>
          <w:color w:val="auto"/>
        </w:rPr>
        <w:t>”), any Common Stock or Common Stock Equivalents, at an effective price per share of Common Stock less than the applicable Fixed Purchase Price, VWAP Purchase Price or Additional VWAP Purchase Price (as applicable) per Share (such price, the “</w:t>
      </w:r>
      <w:r>
        <w:rPr>
          <w:rFonts w:ascii="Times New Roman" w:cs="Times New Roman" w:eastAsia="Times New Roman" w:hAnsi="Times New Roman"/>
          <w:sz w:val="18"/>
          <w:szCs w:val="18"/>
          <w:b w:val="1"/>
          <w:bCs w:val="1"/>
          <w:i w:val="1"/>
          <w:iCs w:val="1"/>
          <w:color w:val="auto"/>
        </w:rPr>
        <w:t>Reference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Price</w:t>
      </w:r>
      <w:r>
        <w:rPr>
          <w:rFonts w:ascii="Times New Roman" w:cs="Times New Roman" w:eastAsia="Times New Roman" w:hAnsi="Times New Roman"/>
          <w:sz w:val="18"/>
          <w:szCs w:val="18"/>
          <w:color w:val="auto"/>
        </w:rPr>
        <w:t>”) to be sold to the Investor in the applicable Fixed Purchase, VWAP Purchase and Additional VWAP Purchase (as applicable) to which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Reference Period relates (each such issuance, a “</w:t>
      </w:r>
      <w:r>
        <w:rPr>
          <w:rFonts w:ascii="Times New Roman" w:cs="Times New Roman" w:eastAsia="Times New Roman" w:hAnsi="Times New Roman"/>
          <w:sz w:val="18"/>
          <w:szCs w:val="18"/>
          <w:b w:val="1"/>
          <w:bCs w:val="1"/>
          <w:i w:val="1"/>
          <w:iCs w:val="1"/>
          <w:color w:val="auto"/>
        </w:rPr>
        <w:t>Dilutive Issuance</w:t>
      </w:r>
      <w:r>
        <w:rPr>
          <w:rFonts w:ascii="Times New Roman" w:cs="Times New Roman" w:eastAsia="Times New Roman" w:hAnsi="Times New Roman"/>
          <w:sz w:val="18"/>
          <w:szCs w:val="18"/>
          <w:color w:val="auto"/>
        </w:rPr>
        <w:t>”), other than an Exempt Issuance (it being understood and agreed that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of Common Stock that is less than the applicable Reference Price, such issuance shall be deemed to have occurred for less than the applicable Reference Price on such date of the Dilutive Issuance at such effective price) and the applicable Fixed Purchase Price, VWAP Purchase Price or Additional VWAP Purchase Price (as applicable) shall be reduced to equal the Reference Price. If the Company enters into a Variable Rate Transaction, the Company shall be deemed to have issued Common Stock or Common Stock Equivalents at the lowest possible conversion or exercise price at which such securities may be converted or exercised. The Investor shall be entitled to seek injunctive relief against the Company and the Subsidiaries to preclude any such Dilutive Issuance that does not constitute an Exempt Issuance, which remedy shall be in addition to any right to collect damages, without the necessity of showing economic loss and without any bond or other security being required.</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66" w:right="459" w:bottom="1440" w:gutter="0" w:footer="0" w:header="0"/>
        </w:sectPr>
      </w:pPr>
    </w:p>
    <w:bookmarkStart w:id="83" w:name="page84"/>
    <w:bookmarkEnd w:id="83"/>
    <w:p>
      <w:pPr>
        <w:ind w:firstLine="991"/>
        <w:spacing w:after="0" w:line="252" w:lineRule="auto"/>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Other Similar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and after the date of this Agreement until the termination of this Agreement pursuant to Section 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Similar Transaction Restricted Period</w:t>
      </w:r>
      <w:r>
        <w:rPr>
          <w:rFonts w:ascii="Times New Roman" w:cs="Times New Roman" w:eastAsia="Times New Roman" w:hAnsi="Times New Roman"/>
          <w:sz w:val="18"/>
          <w:szCs w:val="18"/>
          <w:color w:val="auto"/>
        </w:rPr>
        <w:t>”), none of the Company or any Subsidiary shall issue, sell or grant any, or otherwise dispose of or issue (or enter into any agreement, plan or arrangement contemplating any of the foregoing, or seek to utilize any existing agreement, plan or arrangement to effect any of the foregoing), or announce any offer, issuance, sale or grant or other disposition or issuance of (or any agreement, plan or arrangement therefor) any Common Stock or Common Stock Equivalents (or a combination of units thereof) in any “equity line of credit,” “at the market offering” or other similar continuous offering in which the Company may offer, issue or sell Common Stock or Common Stock Equivalents (or any combination of units thereof) at a future determined price, other than (a) Securities issued to the Investor pursuant to this Agreement and any of the other Transaction Documents or pursuant to any other agreement entered into by the Company and the Investor at any time after the date of this Agreement, and (b) any securities of the Company issued upon the exercise or exchange of or conversion of any shares of Common Stock or Common Stock Equivalents held by the Investor at any time (such similar transaction other than those referred to clauses (a) and (b) hereof, a “</w:t>
      </w:r>
      <w:r>
        <w:rPr>
          <w:rFonts w:ascii="Times New Roman" w:cs="Times New Roman" w:eastAsia="Times New Roman" w:hAnsi="Times New Roman"/>
          <w:sz w:val="18"/>
          <w:szCs w:val="18"/>
          <w:b w:val="1"/>
          <w:bCs w:val="1"/>
          <w:i w:val="1"/>
          <w:iCs w:val="1"/>
          <w:color w:val="auto"/>
        </w:rPr>
        <w:t>Similar Transaction</w:t>
      </w:r>
      <w:r>
        <w:rPr>
          <w:rFonts w:ascii="Times New Roman" w:cs="Times New Roman" w:eastAsia="Times New Roman" w:hAnsi="Times New Roman"/>
          <w:sz w:val="18"/>
          <w:szCs w:val="18"/>
          <w:color w:val="auto"/>
        </w:rPr>
        <w:t xml:space="preserve">”). From and after the date immediately following the last day of the Similar Transaction Restricted Period, the Company and/or any Subsidiary shall be permitted to enter into an agreement, plan or arrangement to effect a Similar Transaction (and may publicly announce the same), and the Company and/or any Subsidiary shall be permitted to take all such actions necessary or as contemplated thereby in order to satisfy any conditions required thereunder to be satisfied by the Company and/or any Subsidiary in order to commence issuances and sales of Common Stock or Common Stock Equivalents (or a combination of units thereof) thereunder, including, without limitation, preparing and filing with the Commission one or more registration statements to register under the Securities Act the offer, issuance and sale by the Company of Common Stock or Common Stock Equivalents (or a combination of units thereof) thereunder, or to register the resale by any Person or Persons of Common Stock or Common Stock Equivalents (or a combination of units thereof) that may be issued or sold by the Company and/or any Subsidiary to such Person or Persons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none of the Company or Subsidiary may issue, sell or otherwise dispose of any shares of Common Stock or Common Stock Equivalents (or a combination of units thereof) to or through any Person or Persons thereunder prior to the date of termination of this Agreement pursuant to Section 7. The Investor shall be entitled to seek injunctive relief against the Company and the Subsidiaries to preclude any such issuance, which remedy shall be in addition to any right to collect damages, without the necessity of showing economic loss and without any bond or other security being required.</w:t>
      </w:r>
    </w:p>
    <w:p>
      <w:pPr>
        <w:spacing w:after="0" w:line="187"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Corporate Existence</w:t>
      </w:r>
      <w:r>
        <w:rPr>
          <w:rFonts w:ascii="Times New Roman" w:cs="Times New Roman" w:eastAsia="Times New Roman" w:hAnsi="Times New Roman"/>
          <w:sz w:val="18"/>
          <w:szCs w:val="18"/>
          <w:color w:val="auto"/>
        </w:rPr>
        <w:t>. The Company shall take all steps necessary to preserve and continue the corporate existence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provided in Section 5.8, nothing in this Agreement shall be deemed to prohibit the Company from engaging in any Fundamental Transaction with another Person. For the avoidance of doubt, nothing in this Section 5.7 shall in any way limit the Company’s right to terminate this Agreement in accordance with Section 7.2 (subject in all cases to Section 7.3).</w:t>
      </w:r>
    </w:p>
    <w:p>
      <w:pPr>
        <w:spacing w:after="0" w:line="176"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5.8. </w:t>
      </w:r>
      <w:r>
        <w:rPr>
          <w:rFonts w:ascii="Times New Roman" w:cs="Times New Roman" w:eastAsia="Times New Roman" w:hAnsi="Times New Roman"/>
          <w:sz w:val="18"/>
          <w:szCs w:val="18"/>
          <w:b w:val="1"/>
          <w:bCs w:val="1"/>
          <w:u w:val="single" w:color="auto"/>
          <w:color w:val="auto"/>
        </w:rPr>
        <w:t>Fundamental Transaction</w:t>
      </w:r>
      <w:r>
        <w:rPr>
          <w:rFonts w:ascii="Times New Roman" w:cs="Times New Roman" w:eastAsia="Times New Roman" w:hAnsi="Times New Roman"/>
          <w:sz w:val="18"/>
          <w:szCs w:val="18"/>
          <w:color w:val="auto"/>
        </w:rPr>
        <w:t>. If a Fixed Purchase Notice, a VWAP Purchase Notice or an Additional VWAP Purchase Notice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by the Company to the Investor under Article II and the applicable Fixed Purchase, VWAP Purchase and Additional VWAP Purchase, respectively, has or have not yet been fully settled in accordance with this Agreement (including, without limitation, the delivery by the Investor to the Company of the applicable total purchase price for all of the Shares to be purchased by the Investor in such Fixed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66" w:right="459" w:bottom="1440" w:gutter="0" w:footer="0" w:header="0"/>
        </w:sectPr>
      </w:pPr>
    </w:p>
    <w:bookmarkStart w:id="84" w:name="page85"/>
    <w:bookmarkEnd w:id="84"/>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 VWAP Purchase and Additional VWAP Purchase, respectively, as contemplated by Article II), the Company shall not effect any Fundamental Transaction until the expiration of three (3) Trading Days following the Trading Day on which the Investor has delivered to the Company the applicable total purchase price for all of the Shares to be purchased by the Investor in such Fixed Purchase, VWAP Purchase and Additional VWAP Purchase, respectively.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b w:val="1"/>
          <w:bCs w:val="1"/>
          <w:u w:val="single" w:color="auto"/>
          <w:color w:val="auto"/>
        </w:rPr>
        <w:t>Selling Restrictions.</w:t>
      </w:r>
    </w:p>
    <w:p>
      <w:pPr>
        <w:spacing w:after="0" w:line="229"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Except as expressly set forth below, the Investor covenants that from and after the Closing Date through and including the Trading Day next following the expiration or termination of this Agreement (the “</w:t>
      </w:r>
      <w:r>
        <w:rPr>
          <w:rFonts w:ascii="Times New Roman" w:cs="Times New Roman" w:eastAsia="Times New Roman" w:hAnsi="Times New Roman"/>
          <w:sz w:val="18"/>
          <w:szCs w:val="18"/>
          <w:b w:val="1"/>
          <w:bCs w:val="1"/>
          <w:i w:val="1"/>
          <w:iCs w:val="1"/>
          <w:color w:val="auto"/>
        </w:rPr>
        <w:t>Restricted Period</w:t>
      </w:r>
      <w:r>
        <w:rPr>
          <w:rFonts w:ascii="Times New Roman" w:cs="Times New Roman" w:eastAsia="Times New Roman" w:hAnsi="Times New Roman"/>
          <w:sz w:val="18"/>
          <w:szCs w:val="18"/>
          <w:color w:val="auto"/>
        </w:rPr>
        <w:t>”), neither the Investor nor any of its Affiliates nor any entity managed or controlled by the Investor (collectively, the “</w:t>
      </w:r>
      <w:r>
        <w:rPr>
          <w:rFonts w:ascii="Times New Roman" w:cs="Times New Roman" w:eastAsia="Times New Roman" w:hAnsi="Times New Roman"/>
          <w:sz w:val="18"/>
          <w:szCs w:val="18"/>
          <w:b w:val="1"/>
          <w:bCs w:val="1"/>
          <w:i w:val="1"/>
          <w:iCs w:val="1"/>
          <w:color w:val="auto"/>
        </w:rPr>
        <w:t>Restricted Persons</w:t>
      </w:r>
      <w:r>
        <w:rPr>
          <w:rFonts w:ascii="Times New Roman" w:cs="Times New Roman" w:eastAsia="Times New Roman" w:hAnsi="Times New Roman"/>
          <w:sz w:val="18"/>
          <w:szCs w:val="18"/>
          <w:color w:val="auto"/>
        </w:rPr>
        <w:t>” and each of the foregoing is referred to herein as a “</w:t>
      </w:r>
      <w:r>
        <w:rPr>
          <w:rFonts w:ascii="Times New Roman" w:cs="Times New Roman" w:eastAsia="Times New Roman" w:hAnsi="Times New Roman"/>
          <w:sz w:val="18"/>
          <w:szCs w:val="18"/>
          <w:b w:val="1"/>
          <w:bCs w:val="1"/>
          <w:i w:val="1"/>
          <w:iCs w:val="1"/>
          <w:color w:val="auto"/>
        </w:rPr>
        <w:t>Restricted Person</w:t>
      </w:r>
      <w:r>
        <w:rPr>
          <w:rFonts w:ascii="Times New Roman" w:cs="Times New Roman" w:eastAsia="Times New Roman" w:hAnsi="Times New Roman"/>
          <w:sz w:val="18"/>
          <w:szCs w:val="18"/>
          <w:color w:val="auto"/>
        </w:rPr>
        <w:t>”) shall, directly or indirectly, (x) engage in any Short Sales involving the Company’s securities or (y) grant any option to purchase, or acquire any right to dispose of or otherwise dispose for value of, any shares of Common Stock or any securities convertible into or exercisable or exchangeable for any shares of Common Stock, or enter into any swap, hedge or other similar agreement that transfers, in whole or in part, the economic risk of ownership of the Common Stock. Notwithstanding the foregoing, it is expressly understood and agreed that nothing contained herein shall (without implication that the contrary would otherwise be true) prohibit any Restricted Person during the Restricted Period from: (1) selling “long” (as defined under Rule 200 promulgated under Regulation SHO) the Securities; or (2) selling a number of shares of Common Stock equal to the number of Shares that such Restricted Person is or may be obligated to purchase under a pending Fixed Purchase Notice, a pending VWAP Purchase Notice or a pending Additional VWAP Purchase Notice but has not yet taken possession of so long as such Restricted Person (or the Broker-Dealer, as applicable) delivers the Shares purchased pursuant to such Fixed Purchase Notice, such VWAP Purchase Notice or such Additional VWAP Purchase Notice (as applicable) to the purchaser thereof or the applicable Broker-Dealer upon such Restricted Person’s receipt of such shares of Common Stock from the Company pursuant to this Agreement.</w:t>
      </w:r>
    </w:p>
    <w:p>
      <w:pPr>
        <w:spacing w:after="0" w:line="197" w:lineRule="exact"/>
        <w:rPr>
          <w:sz w:val="20"/>
          <w:szCs w:val="20"/>
          <w:color w:val="auto"/>
        </w:rPr>
      </w:pPr>
    </w:p>
    <w:p>
      <w:pPr>
        <w:jc w:val="both"/>
        <w:ind w:right="200" w:firstLine="991"/>
        <w:spacing w:after="0" w:line="266" w:lineRule="auto"/>
        <w:rPr>
          <w:sz w:val="20"/>
          <w:szCs w:val="20"/>
          <w:color w:val="auto"/>
        </w:rPr>
      </w:pPr>
      <w:r>
        <w:rPr>
          <w:rFonts w:ascii="Times New Roman" w:cs="Times New Roman" w:eastAsia="Times New Roman" w:hAnsi="Times New Roman"/>
          <w:sz w:val="18"/>
          <w:szCs w:val="18"/>
          <w:color w:val="auto"/>
        </w:rPr>
        <w:t>In addition to the foregoing, in connection with any sale of Securities (including any sale permitted by paragraph (i) above), the Investor shall comply in all respects with all applicable laws, rules, regulations and orders, including, without limitation, the requirements of the Securities Act and the Exchange Act.</w:t>
      </w:r>
    </w:p>
    <w:p>
      <w:pPr>
        <w:spacing w:after="0" w:line="172"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b w:val="1"/>
          <w:bCs w:val="1"/>
          <w:u w:val="single" w:color="auto"/>
          <w:color w:val="auto"/>
        </w:rPr>
        <w:t>Effective Registration Statement</w:t>
      </w:r>
      <w:r>
        <w:rPr>
          <w:rFonts w:ascii="Times New Roman" w:cs="Times New Roman" w:eastAsia="Times New Roman" w:hAnsi="Times New Roman"/>
          <w:sz w:val="18"/>
          <w:szCs w:val="18"/>
          <w:color w:val="auto"/>
        </w:rPr>
        <w:t>. During the Investment Period, the Company shall use its commercially reasonable efforts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 the continuous effectiveness of each Registration Statement filed with the Commission under the Securities Act for the applicable Registration Period pursuant to and in accordance with the Registration Rights Agreement.</w:t>
      </w:r>
    </w:p>
    <w:p>
      <w:pPr>
        <w:spacing w:after="0" w:line="171" w:lineRule="exact"/>
        <w:rPr>
          <w:sz w:val="20"/>
          <w:szCs w:val="20"/>
          <w:color w:val="auto"/>
        </w:rPr>
      </w:pPr>
    </w:p>
    <w:p>
      <w:pPr>
        <w:ind w:right="20" w:firstLine="440"/>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Section 5.11. </w:t>
      </w:r>
      <w:r>
        <w:rPr>
          <w:rFonts w:ascii="Times New Roman" w:cs="Times New Roman" w:eastAsia="Times New Roman" w:hAnsi="Times New Roman"/>
          <w:sz w:val="17"/>
          <w:szCs w:val="17"/>
          <w:b w:val="1"/>
          <w:bCs w:val="1"/>
          <w:u w:val="single" w:color="auto"/>
          <w:color w:val="auto"/>
        </w:rPr>
        <w:t>Blue Sky</w:t>
      </w:r>
      <w:r>
        <w:rPr>
          <w:rFonts w:ascii="Times New Roman" w:cs="Times New Roman" w:eastAsia="Times New Roman" w:hAnsi="Times New Roman"/>
          <w:sz w:val="17"/>
          <w:szCs w:val="17"/>
          <w:color w:val="auto"/>
        </w:rPr>
        <w:t>. The Company shall take such action, if any, as is necessary by the Company in order to obtain an exemption for or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qualify the Securities for sale by the Company to the Investor pursuant to the Transaction Documents, and at the request of the Investor, the subsequent resale of Registrable Securities by the Investor, in each case, under applicable state securities or “Blue Sky” laws and shall provide evidence of any such action so taken to the Investor from time to time following the Closing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shall not be required in connection therewith or as a condition thereto to (x) qualify to do business in any jurisdiction where it would not otherwise be required to qualify but for this Section 5.11, (y) subject itself to general taxation in any such jurisdiction, or (z) file a general consent to service of process in any such jurisdiction.</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85" w:name="page86"/>
    <w:bookmarkEnd w:id="85"/>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5.12. </w:t>
      </w:r>
      <w:r>
        <w:rPr>
          <w:rFonts w:ascii="Times New Roman" w:cs="Times New Roman" w:eastAsia="Times New Roman" w:hAnsi="Times New Roman"/>
          <w:sz w:val="18"/>
          <w:szCs w:val="18"/>
          <w:b w:val="1"/>
          <w:bCs w:val="1"/>
          <w:u w:val="single" w:color="auto"/>
          <w:color w:val="auto"/>
        </w:rPr>
        <w:t>Non-Public Information</w:t>
      </w:r>
      <w:r>
        <w:rPr>
          <w:rFonts w:ascii="Times New Roman" w:cs="Times New Roman" w:eastAsia="Times New Roman" w:hAnsi="Times New Roman"/>
          <w:sz w:val="18"/>
          <w:szCs w:val="18"/>
          <w:color w:val="auto"/>
        </w:rPr>
        <w:t>. None of the Company or of the Subsidiaries, nor any of their respective directors, officers, employees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shall disclose any material non-public information about the Company or the Subsidiaries to the Investor, unless a simultaneous public announcement thereof is made by the Company in the manner contemplated by Regulation FD. In the event of a breach of the foregoing covenant by the Company or of the Subsidiaries, or any of their respective directors, officers, employees and agents (as determined in the reasonable good faith judgment of the Investor), (i) the Investor shall promptly provide written notice of such breach to the Company and (ii) after such notice has been provided to the Company and, provided that the Company shall have failed to publicly disclose such material, non-public information within 24 hours following demand therefor by the Investor, in addition to any other remedy provided herein or in the other Transaction Documents, the Investor shall have the right to make a public disclosure, in the form of a press release, public advertisement or otherwise, of such material, non-public information without the prior approval by the Company, any of the Subsidiaries, or any of their respective directors, officers, employees or agents. The Investor shall not have any liability to the Company, any of the Subsidiaries, or any of their respective directors, officers, employees, stockholders or agents, for any such disclosure.</w:t>
      </w:r>
    </w:p>
    <w:p>
      <w:pPr>
        <w:spacing w:after="0" w:line="182"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5.13. </w:t>
      </w:r>
      <w:r>
        <w:rPr>
          <w:rFonts w:ascii="Times New Roman" w:cs="Times New Roman" w:eastAsia="Times New Roman" w:hAnsi="Times New Roman"/>
          <w:sz w:val="18"/>
          <w:szCs w:val="18"/>
          <w:b w:val="1"/>
          <w:bCs w:val="1"/>
          <w:u w:val="single" w:color="auto"/>
          <w:color w:val="auto"/>
        </w:rPr>
        <w:t>Broker/Dealer</w:t>
      </w:r>
      <w:r>
        <w:rPr>
          <w:rFonts w:ascii="Times New Roman" w:cs="Times New Roman" w:eastAsia="Times New Roman" w:hAnsi="Times New Roman"/>
          <w:sz w:val="18"/>
          <w:szCs w:val="18"/>
          <w:color w:val="auto"/>
        </w:rPr>
        <w:t>. The Investor shall use one or more broker-dealers to effectuate all sales, if any, of the Shares that it may purchase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acquire from the Company pursuant to the Transaction Documents, as applicable, which (or whom) shall be unaffiliated with the Investor and not then currently engaged or used by the Company, and a DTC participant (collectively, the “</w:t>
      </w:r>
      <w:r>
        <w:rPr>
          <w:rFonts w:ascii="Times New Roman" w:cs="Times New Roman" w:eastAsia="Times New Roman" w:hAnsi="Times New Roman"/>
          <w:sz w:val="18"/>
          <w:szCs w:val="18"/>
          <w:b w:val="1"/>
          <w:bCs w:val="1"/>
          <w:i w:val="1"/>
          <w:iCs w:val="1"/>
          <w:color w:val="auto"/>
        </w:rPr>
        <w:t>Broker-Dealer</w:t>
      </w:r>
      <w:r>
        <w:rPr>
          <w:rFonts w:ascii="Times New Roman" w:cs="Times New Roman" w:eastAsia="Times New Roman" w:hAnsi="Times New Roman"/>
          <w:sz w:val="18"/>
          <w:szCs w:val="18"/>
          <w:color w:val="auto"/>
        </w:rPr>
        <w:t>”). The Investor shall, from time to time, provide the Company and the Transfer Agent with all information regarding the Broker-Dealer reasonably requested by the Company. The Investor shall be solely responsible for all fees and commissions of the Broker-Dealer, which shall not exceed customary brokerage fees and commissions and shall be responsible for designating only a DTC participant eligible to receive DWAC Shares.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5.14. </w:t>
      </w:r>
      <w:r>
        <w:rPr>
          <w:rFonts w:ascii="Times New Roman" w:cs="Times New Roman" w:eastAsia="Times New Roman" w:hAnsi="Times New Roman"/>
          <w:sz w:val="18"/>
          <w:szCs w:val="18"/>
          <w:b w:val="1"/>
          <w:bCs w:val="1"/>
          <w:u w:val="single" w:color="auto"/>
          <w:color w:val="auto"/>
        </w:rPr>
        <w:t>Disclosure Schedules.</w:t>
      </w:r>
    </w:p>
    <w:p>
      <w:pPr>
        <w:spacing w:after="0" w:line="229"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The Company may, from time to time, update the Disclosure Schedules as may be required to satisfy the conditions set forth in Section 6.2(i) and Section 6.3 (to the extent such condition set forth in Section 6.3 relates to the condition in Section 6.2(i) as of a specific Notice Delivery Time). For purposes of this Section 5.14, any disclosure made in a schedule to the Compliance Certificate shall be deemed to be an update of the Disclosure Schedule. Notwithstanding anything in this Agreement to the contrary, no update to the Disclosure Schedule pursuant to this Section 5.14 shall cure any breach of a representation or warranty of the Company contained in this Agreement and made prior to the update and shall not affect any of the Investor’s rights or remedies with respect thereto.</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66" w:right="459" w:bottom="1440" w:gutter="0" w:footer="0" w:header="0"/>
        </w:sectPr>
      </w:pPr>
    </w:p>
    <w:bookmarkStart w:id="86" w:name="page87"/>
    <w:bookmarkEnd w:id="86"/>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contained in the Disclosure Schedule or in this Agreement, the information and disclosure contained in any Schedule of the Disclosure Schedule shall be deemed to be disclosed and incorporated by reference in any other Schedule of the Disclosure Schedule as though fully set forth in such Schedule for which applicability of such information and disclosure is reasonably apparent. The fact that any item of information is disclosed in the Disclosure Schedule shall not be construed to mean that such information is required to be disclosed by this Agreement. Except as expressly set forth in this Agreement, such information and the thresholds (whether based on quantity, qualitative characterization, dollar amounts or otherwise) set forth herein shall not be used as a basis for interpreting the terms “material” or “Material Adverse Effect” or other similar terms in this Agreement.</w:t>
      </w:r>
    </w:p>
    <w:p>
      <w:pPr>
        <w:spacing w:after="0" w:line="18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5.15. </w:t>
      </w:r>
      <w:r>
        <w:rPr>
          <w:rFonts w:ascii="Times New Roman" w:cs="Times New Roman" w:eastAsia="Times New Roman" w:hAnsi="Times New Roman"/>
          <w:sz w:val="18"/>
          <w:szCs w:val="18"/>
          <w:b w:val="1"/>
          <w:bCs w:val="1"/>
          <w:u w:val="single" w:color="auto"/>
          <w:color w:val="auto"/>
        </w:rPr>
        <w:t>Delivery of Bring Down Opinions and Compliance Certificates Upon Occurrence of Certain Events</w:t>
      </w:r>
      <w:r>
        <w:rPr>
          <w:rFonts w:ascii="Times New Roman" w:cs="Times New Roman" w:eastAsia="Times New Roman" w:hAnsi="Times New Roman"/>
          <w:sz w:val="18"/>
          <w:szCs w:val="18"/>
          <w:color w:val="auto"/>
        </w:rPr>
        <w:t>. Within three (3)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immediately following the (i) filing of (A) a post-effective amendment to the Prospectus Supplement required to be filed by the Company with the Commission pursuant to the Registration Rights Agreement, (B) a New Registration Statement required to be filed by the Company with the Commission pursuant to Section 2(c) of the Registration Rights Agreement, or (C) a post-effective amendment to a New Registration Statement required to be filed by the Company with the Commission pursuant to Section 2(c) of the Registration Rights Agreement, in each case with respect to a fiscal year ending after the Commencement Date, to register the resale of Securities by the Investor under the Securities Act pursuant to this Agreement and the Registration Rights Agreement, and (ii) the date the Company files with the Commission (A) a Prospectus Supplement to the Prospectus contained in the Registration Statement under the Securities Act, (B) an annual report on Form 10-K under the Exchange Act with respect to a fiscal year ending after the Commencement Date, (C) an amendment on Form 10-K/A to an annual report on Form 10-K under the Exchange Act with respect to a fiscal year ending after the Commencement Date, which contains amended material financial information (or a restatement of material financial information) or an amendment to other material information contained in a previously filed Form 10-K, and (D) a Commission Document under the Exchange Act (other than those referred to in clauses (ii)(A) and (ii)(B) of this Section 5.15), which contains amended material financial information (or a restatement of material financial information) or an amendment to other material information contained or incorporated by reference in the Registration Statement, or the Prospectus or any Prospectus Supplement contained in the Registration Statement (it being hereby acknowledged and agreed that the filing by the Company with the Commission of a quarterly report on Form 10-Q that includes only updated financial information as of the end of the Company’s most recent fiscal quarter shall not, in and of itself, constitute an “amendment” or “restatement” for purposes of clause (ii) of this Section 5.15), in each case of this clause (ii) if the Company is not also then required under the Securities Act to file a post-effective amendment to the Registration Statement or a post-effective amendment to any New Registration Statement, in each case with respect to a fiscal year ending after the Commencement Date, to register the resale of Securities by the Investor under the Securities Act pursuant to this Agreement and the Registration Rights Agreement, and in any case of this clause (ii), not more than once per calendar quarter, the Company shall (I) deliver to the Investor a Compliance Certificate, dated such date, and (II) cause to be furnished to the Investor an opinion “bring down” from outside counsel to the Company substantially in the form mutually agreed to by the Company and the Investor prior to the date of this Agreement, modified, as necessary, to relate to such Registration Statement or post-effective amendment, or the Prospectus contained therein as then amended or supplemented by such Prospectus Supplement, as applicable (each such opinion, a “</w:t>
      </w:r>
      <w:r>
        <w:rPr>
          <w:rFonts w:ascii="Times New Roman" w:cs="Times New Roman" w:eastAsia="Times New Roman" w:hAnsi="Times New Roman"/>
          <w:sz w:val="18"/>
          <w:szCs w:val="18"/>
          <w:b w:val="1"/>
          <w:bCs w:val="1"/>
          <w:i w:val="1"/>
          <w:iCs w:val="1"/>
          <w:color w:val="auto"/>
        </w:rPr>
        <w:t>Bring Down Opinion</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70" w:right="439" w:bottom="1440" w:gutter="0" w:footer="0" w:header="0"/>
        </w:sectPr>
      </w:pPr>
    </w:p>
    <w:bookmarkStart w:id="87" w:name="page88"/>
    <w:bookmarkEnd w:id="87"/>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5.16. </w:t>
      </w:r>
      <w:r>
        <w:rPr>
          <w:rFonts w:ascii="Times New Roman" w:cs="Times New Roman" w:eastAsia="Times New Roman" w:hAnsi="Times New Roman"/>
          <w:sz w:val="18"/>
          <w:szCs w:val="18"/>
          <w:b w:val="1"/>
          <w:bCs w:val="1"/>
          <w:u w:val="single" w:color="auto"/>
          <w:color w:val="auto"/>
        </w:rPr>
        <w:t>DTC Chill</w:t>
      </w:r>
      <w:r>
        <w:rPr>
          <w:rFonts w:ascii="Times New Roman" w:cs="Times New Roman" w:eastAsia="Times New Roman" w:hAnsi="Times New Roman"/>
          <w:sz w:val="18"/>
          <w:szCs w:val="18"/>
          <w:color w:val="auto"/>
        </w:rPr>
        <w:t>. If the Common stock is chilled for deposit at DTC, becomes chilled, or receives a Stop Sign or other trading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point while this Agreement remains outstanding, an additional 10% discount will be attributed to the price per Share at which each Fixed Purchase, VWAP Purchase and Additional VWAP Purchase is made and the Investor shall be entitled to deduct from such payment for the Shares an amount equal to $1,500 for each Fixed Purchase, VWAP Purchase and Additional VWAP Purchase to cover costs associated with the deposit of chilled or otherwise trade restricted stocks for each issuance.</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CONDITIONS TO CLOSING AND CONDITIONS TO THE SALE AND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PURCHASE OF THE SHARES</w:t>
      </w:r>
    </w:p>
    <w:p>
      <w:pPr>
        <w:spacing w:after="0" w:line="203"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Conditions Precedent to Closing</w:t>
      </w:r>
      <w:r>
        <w:rPr>
          <w:rFonts w:ascii="Times New Roman" w:cs="Times New Roman" w:eastAsia="Times New Roman" w:hAnsi="Times New Roman"/>
          <w:sz w:val="18"/>
          <w:szCs w:val="18"/>
          <w:color w:val="auto"/>
        </w:rPr>
        <w:t>. The Closing is subject to the satisfaction of each of the conditions set forth in this Section 6.1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Closing Date.</w:t>
      </w:r>
    </w:p>
    <w:p>
      <w:pPr>
        <w:spacing w:after="0" w:line="155" w:lineRule="exact"/>
        <w:rPr>
          <w:sz w:val="20"/>
          <w:szCs w:val="20"/>
          <w:color w:val="auto"/>
        </w:rPr>
      </w:pPr>
    </w:p>
    <w:p>
      <w:pPr>
        <w:ind w:right="40" w:firstLine="991"/>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Accuracy of the Investor’s Representations and Warranties</w:t>
      </w:r>
      <w:r>
        <w:rPr>
          <w:rFonts w:ascii="Times New Roman" w:cs="Times New Roman" w:eastAsia="Times New Roman" w:hAnsi="Times New Roman"/>
          <w:sz w:val="18"/>
          <w:szCs w:val="18"/>
          <w:color w:val="auto"/>
        </w:rPr>
        <w:t>. The representations and warranties of the Investor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 that are not qualified by “materiality” shall be true and correct in all material respects as of the Closing Date, except to the extent such representations and warranties are as of another date, in which case, such representations and warranties shall be true and correct in all material respects as of such other date and (b) that are qualified by “materiality” shall be true and correct as of the Closing Date, except to the extent such representations and warranties are as of another date, in which case, such representations and warranties shall be true and correct as of such other date.</w:t>
      </w:r>
    </w:p>
    <w:p>
      <w:pPr>
        <w:spacing w:after="0" w:line="179"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Accuracy of the Company’s Representations and Warranties</w:t>
      </w:r>
      <w:r>
        <w:rPr>
          <w:rFonts w:ascii="Times New Roman" w:cs="Times New Roman" w:eastAsia="Times New Roman" w:hAnsi="Times New Roman"/>
          <w:sz w:val="18"/>
          <w:szCs w:val="18"/>
          <w:color w:val="auto"/>
        </w:rPr>
        <w:t>. The representations and warranties of the Company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 that are not qualified by “materiality” or “Material Adverse Effect” shall be true and correct in all material respects as of the Closing Date, except to the extent such representations and warranties are as of another date, in which case, such representations and warranties shall be true and correct in all material respects as of such other date and (b) that are qualified by “materiality” or “Material Adverse Effect” shall be true and correct as of the Closing Date, except to the extent such representations and warranties are as of another date, in which case, such representations and warranties shall be true and correct as of such other date.</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right="60" w:firstLine="991"/>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Closing Deliverables</w:t>
      </w:r>
      <w:r>
        <w:rPr>
          <w:rFonts w:ascii="Times New Roman" w:cs="Times New Roman" w:eastAsia="Times New Roman" w:hAnsi="Times New Roman"/>
          <w:sz w:val="18"/>
          <w:szCs w:val="18"/>
          <w:color w:val="auto"/>
        </w:rPr>
        <w:t>. At the Closing, counterpart signature pages of this Agreement and the Registration Rights Agreement executed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of the parties hereto shall be delivered as provided in Section 1.2. Simultaneously with the execution and delivery of this Agreement and the Registration Rights Agreement, the Investor’s counsel shall have received the closing certificate from the Company, dated as of the Closing Date,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176" w:lineRule="exact"/>
        <w:rPr>
          <w:sz w:val="20"/>
          <w:szCs w:val="20"/>
          <w:color w:val="auto"/>
        </w:rPr>
      </w:pPr>
    </w:p>
    <w:p>
      <w:pPr>
        <w:ind w:right="2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Conditions Precedent to Commencement</w:t>
      </w:r>
      <w:r>
        <w:rPr>
          <w:rFonts w:ascii="Times New Roman" w:cs="Times New Roman" w:eastAsia="Times New Roman" w:hAnsi="Times New Roman"/>
          <w:sz w:val="18"/>
          <w:szCs w:val="18"/>
          <w:color w:val="auto"/>
        </w:rPr>
        <w:t>. The right of the Company to commence delivering Fixed Purchase Notices, VWAP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Notices and Additional VWAP Purchase Notices under this Agreement, and the obligation of the Investor to accept Fixed Purchase Notices, VWAP Purchase Notices and Additional VWAP Purchase Notices delivered to the Investor by the Company under this Agreement, are subject to the initial satisfaction, at the time of Commencement, of each of the conditions set forth in this Section 6.2.</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66" w:right="479" w:bottom="1440" w:gutter="0" w:footer="0" w:header="0"/>
        </w:sectPr>
      </w:pPr>
    </w:p>
    <w:bookmarkStart w:id="88" w:name="page89"/>
    <w:bookmarkEnd w:id="88"/>
    <w:p>
      <w:pPr>
        <w:ind w:right="60" w:firstLine="991"/>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Accuracy of the Company’s Representations and Warranties</w:t>
      </w:r>
      <w:r>
        <w:rPr>
          <w:rFonts w:ascii="Times New Roman" w:cs="Times New Roman" w:eastAsia="Times New Roman" w:hAnsi="Times New Roman"/>
          <w:sz w:val="18"/>
          <w:szCs w:val="18"/>
          <w:color w:val="auto"/>
        </w:rPr>
        <w:t>. The representations and warranties of the Company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 that are not qualified by “materiality” or “Material Adverse Effect” shall have been true and correct in all material respects when made and shall be true and correct in all material respects as of the Commencement Date with the same force and effect as if made on such date, except to the extent such representations and warranties are as of another date, in which case, such representations and warranties shall be true and correct in all material respects as of such other date and (b) that are qualified by “materiality” or “Material Adverse Effect” shall have been true and correct when made and shall be true and correct as of the Commencement Date with the same force and effect as if made on such date, except to the extent such representations and warranties are as of another date, in which case, such representations and warranties shall be true and correct as of such other date.</w:t>
      </w:r>
    </w:p>
    <w:p>
      <w:pPr>
        <w:spacing w:after="0" w:line="183" w:lineRule="exact"/>
        <w:rPr>
          <w:sz w:val="20"/>
          <w:szCs w:val="20"/>
          <w:color w:val="auto"/>
        </w:rPr>
      </w:pPr>
    </w:p>
    <w:p>
      <w:pPr>
        <w:ind w:right="260" w:firstLine="991"/>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Performance of the Company</w:t>
      </w:r>
      <w:r>
        <w:rPr>
          <w:rFonts w:ascii="Times New Roman" w:cs="Times New Roman" w:eastAsia="Times New Roman" w:hAnsi="Times New Roman"/>
          <w:sz w:val="18"/>
          <w:szCs w:val="18"/>
          <w:color w:val="auto"/>
        </w:rPr>
        <w:t>. The Company shall have performed, satisfied and complied in all material respects with all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agreements and conditions required by this Agreement and the Registration Rights Agreement to be performed, satisfied or complied with by the Company at or prior to the Commencement. The Company shall deliver to the Investor on the Commencement Date the compliance certificate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Compliance Certificate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b w:val="1"/>
          <w:bCs w:val="1"/>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(a) receipt of any request by the Commission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other federal or state governmental authority for any additional information relating to the Prospectus Supplement, or the Prospectus contained therein or any Prospectus Supplement thereto, or for any amendment of or supplement to the Prospectus Supplement, the Prospectus contained therein or any Prospectus Supplement thereto; (b) the issuance by the Commission or any other federal or state governmental authority of any stop order suspending the effectiveness of the Prospectus Supplement or prohibiting or suspending the use of the Prospectus contained therein or any Prospectus Supplement thereto, or of the suspension of qualification or exemption from qualification of the Securities for offering or sale in any jurisdiction, or the initiation or contemplated initiation of any proceeding for such purpose; or (c) the occurrence of any event or the existence of any condition or state of facts, which makes any statement of a material fact made in the Prospectus Supplement, the Prospectus contained therein or any Prospectus Supplement thereto untrue or which requires the making of any additions to or changes to the statements then made in the Prospectus Supplement, the Prospectus contained therein or any Prospectus Supplement thereto in order to state a material fact required by the Securities Act to be stated therein or necessary in order to make the statements then made therein (in the case of the Prospectus or any Prospectus Supplement, in light of the circumstances under which they were made) not misleading, or which requires an amendment to the Prospectus Supplement or a supplement to the Prospectus contained therein or any Prospectus Supplement thereto to comply with the Securities Act or any other law. The Company shall not have any Knowledge of any event that would reasonably be expected to have the effect of causing the suspension of the effectiveness of the Prospectus Supplement or the prohibition or suspension of the use of the Prospectus contained therein or any Prospectus Supplement thereto in connection with the resale of the Registrable Securities by the Investor.</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66" w:right="479" w:bottom="1440" w:gutter="0" w:footer="0" w:header="0"/>
        </w:sectPr>
      </w:pPr>
    </w:p>
    <w:bookmarkStart w:id="89" w:name="page90"/>
    <w:bookmarkEnd w:id="89"/>
    <w:p>
      <w:pPr>
        <w:ind w:right="100" w:firstLine="991"/>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Commission Filings</w:t>
      </w:r>
      <w:r>
        <w:rPr>
          <w:rFonts w:ascii="Times New Roman" w:cs="Times New Roman" w:eastAsia="Times New Roman" w:hAnsi="Times New Roman"/>
          <w:sz w:val="18"/>
          <w:szCs w:val="18"/>
          <w:color w:val="auto"/>
        </w:rPr>
        <w:t>. The Current Report shall have been filed with the Commission as required pursuant to Section 1.3. The final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Prospectus included in any post-effective amendment to the Prospectus Supplement, and any Prospectus Supplement thereto, required to be filed by the Company with the Commission pursuant to Section 1.3 and the Registration Rights Agreement after the Commencement Date and prior to the applicable Fixed Purchase Date and the applicable VWAP Purchase Date and Additional VWAP Purchase Date (as applicable), shall have been filed with the Commission in accordance with Section 1.3 and the Registration Rights Agreement. The final Prospectus included in any New Registration Statement and in any post-effective amendment thereto, and any Prospectus Supplement thereto, required to be filed by the Company with the Commission pursuant to Section 1.3 and the Registration Rights Agreement after the Commencement Date and prior to the applicable Fixed Purchase Date and the applicable VWAP Purchase Date and Additional VWAP Purchase Date (as applicable), shall have been filed with the Commission in accordance with Section 1.3 and the Registration Rights Agreement. All reports, schedules, registrations, forms, statements, information and other documents required to have been filed by the Company with the Commission pursuant to the reporting requirements of the Exchange Act, including all material required to have been filed pursuant to Section 13(a) or 15(d) of the Exchange Act, after the Commencement Date and prior to the applicable Fixed Purchase Date and the applicable VWAP Purchase Date and Additional VWAP Purchase Date (as applicable), shall have been filed with the Commission and, if any Registrable Securities are covered by a Registration Statement on Form S-3, such filings shall have been made within the applicable time period prescribed for such filing under the Exchange Act.</w:t>
      </w:r>
    </w:p>
    <w:p>
      <w:pPr>
        <w:spacing w:after="0" w:line="18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No Suspension of Trading in or Notice of Delisting of Common Stock</w:t>
      </w:r>
      <w:r>
        <w:rPr>
          <w:rFonts w:ascii="Times New Roman" w:cs="Times New Roman" w:eastAsia="Times New Roman" w:hAnsi="Times New Roman"/>
          <w:sz w:val="18"/>
          <w:szCs w:val="18"/>
          <w:color w:val="auto"/>
        </w:rPr>
        <w:t>. Trading in the Common Stock shall not have been suspended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Commission, the Trading Market or the FINRA (except for any suspension of trading of limited duration agreed to by the Company, which suspension shall be terminated prior to the Commencement Date), the Company shall not have received any final and non-appealable notice that the listing or quotation of the Common Stock on the Trading Market shall be terminated on a date certain (unless, prior to such date certain, the Common Stock is listed or quoted on any other Eligible Market), nor shall there have been imposed any suspension of, or restriction on, accepting additional deposits of the Common Stock, electronic trading or book-entry services by DTC with respect to the Common Stock that is continuing, the Company shall not have received any notice from DTC to the effect that a suspension of, or restriction on, accepting additional deposits of the Common Stock, electronic trading or book-entry services by DTC with respect to the Common Stock is being imposed or is contemplated (unless, prior to such suspension or restriction, DTC shall have notified the Company in writing that DTC has determined not to impose any such suspension or restriction).</w:t>
      </w:r>
    </w:p>
    <w:p>
      <w:pPr>
        <w:spacing w:after="0" w:line="188" w:lineRule="exact"/>
        <w:rPr>
          <w:sz w:val="20"/>
          <w:szCs w:val="20"/>
          <w:color w:val="auto"/>
        </w:rPr>
      </w:pPr>
    </w:p>
    <w:p>
      <w:pPr>
        <w:ind w:right="120" w:firstLine="991"/>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Compliance with Laws</w:t>
      </w:r>
      <w:r>
        <w:rPr>
          <w:rFonts w:ascii="Times New Roman" w:cs="Times New Roman" w:eastAsia="Times New Roman" w:hAnsi="Times New Roman"/>
          <w:sz w:val="18"/>
          <w:szCs w:val="18"/>
          <w:color w:val="auto"/>
        </w:rPr>
        <w:t>. The Company shall have complied in all material respects with all applicable federal, state and local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laws, rules, regulations and ordinances in connection with the execution, delivery and performance of this Agreement and the other Transaction Documents to which it is a party and the consummation of the transactions contemplated hereby and thereby, including, without limitation, the Company shall have obtained all permits and qualifications required by any applicable state securities or “Blue Sky” laws for the offer and sale of the Securities by the Company to the Investor and the subsequent resale of the Registrable Securities by the Investor (or shall have the availability of exemptions therefrom).</w:t>
      </w:r>
    </w:p>
    <w:p>
      <w:pPr>
        <w:spacing w:after="0" w:line="182"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No Injunction</w:t>
      </w:r>
      <w:r>
        <w:rPr>
          <w:rFonts w:ascii="Times New Roman" w:cs="Times New Roman" w:eastAsia="Times New Roman" w:hAnsi="Times New Roman"/>
          <w:sz w:val="18"/>
          <w:szCs w:val="18"/>
          <w:color w:val="auto"/>
        </w:rPr>
        <w:t>. No statute, regulation, order, decree, writ, ruling or injunction shall have been enacted, entered, promulgated, threatened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endorsed by any court or governmental authority of competent jurisdiction which prohibits the consummation of, or which would materially modify or delay any of the transactions contemplated by, the Transaction Documents.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66" w:right="459" w:bottom="1440" w:gutter="0" w:footer="0" w:header="0"/>
        </w:sectPr>
      </w:pPr>
    </w:p>
    <w:bookmarkStart w:id="90" w:name="page91"/>
    <w:bookmarkEnd w:id="90"/>
    <w:p>
      <w:pPr>
        <w:ind w:left="4" w:right="40" w:firstLine="991"/>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Proceedings or Litigation</w:t>
      </w:r>
      <w:r>
        <w:rPr>
          <w:rFonts w:ascii="Times New Roman" w:cs="Times New Roman" w:eastAsia="Times New Roman" w:hAnsi="Times New Roman"/>
          <w:sz w:val="18"/>
          <w:szCs w:val="18"/>
          <w:color w:val="auto"/>
        </w:rPr>
        <w:t>. No action, suit or proceeding before any arbitrator or any court or governmental authority shall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commenced, and no inquiry or investigation by any governmental authority shall have been commenced, against the Company or any Subsidiary, or any of the officers, directors or Affiliates of the Company or any Subsidiary, seeking to restrain, prevent or change the transactions contemplated by the Transaction Documents, or seeking material damages in connection with such transactions.</w:t>
      </w:r>
    </w:p>
    <w:p>
      <w:pPr>
        <w:spacing w:after="0" w:line="176" w:lineRule="exact"/>
        <w:rPr>
          <w:sz w:val="20"/>
          <w:szCs w:val="20"/>
          <w:color w:val="auto"/>
        </w:rPr>
      </w:pPr>
    </w:p>
    <w:p>
      <w:pPr>
        <w:ind w:left="4" w:right="380" w:firstLine="991"/>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Listing of Securities</w:t>
      </w:r>
      <w:r>
        <w:rPr>
          <w:rFonts w:ascii="Times New Roman" w:cs="Times New Roman" w:eastAsia="Times New Roman" w:hAnsi="Times New Roman"/>
          <w:sz w:val="18"/>
          <w:szCs w:val="18"/>
          <w:color w:val="auto"/>
        </w:rPr>
        <w:t>. All of the Securities that have been and may be issued pursuant to this Agreement shall have been approved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listing or quotation on the Trading Market as of the Commencement Date, subject only to notice of issuance.</w:t>
      </w:r>
    </w:p>
    <w:p>
      <w:pPr>
        <w:spacing w:after="0" w:line="155" w:lineRule="exact"/>
        <w:rPr>
          <w:sz w:val="20"/>
          <w:szCs w:val="20"/>
          <w:color w:val="auto"/>
        </w:rPr>
      </w:pPr>
    </w:p>
    <w:p>
      <w:pPr>
        <w:ind w:left="4" w:right="120" w:firstLine="991"/>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No Material Adverse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condition, occurrence, state of facts or event constituting a Material Adverse Effect shall have occurred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be continuing.</w:t>
      </w:r>
    </w:p>
    <w:p>
      <w:pPr>
        <w:spacing w:after="0" w:line="155" w:lineRule="exact"/>
        <w:rPr>
          <w:sz w:val="20"/>
          <w:szCs w:val="20"/>
          <w:color w:val="auto"/>
        </w:rPr>
      </w:pPr>
    </w:p>
    <w:p>
      <w:pPr>
        <w:ind w:left="4" w:right="120" w:firstLine="991"/>
        <w:spacing w:after="0" w:line="263" w:lineRule="auto"/>
        <w:rPr>
          <w:sz w:val="20"/>
          <w:szCs w:val="20"/>
          <w:color w:val="auto"/>
        </w:rPr>
      </w:pPr>
      <w:r>
        <w:rPr>
          <w:rFonts w:ascii="Times New Roman" w:cs="Times New Roman" w:eastAsia="Times New Roman" w:hAnsi="Times New Roman"/>
          <w:sz w:val="18"/>
          <w:szCs w:val="18"/>
          <w:b w:val="1"/>
          <w:bCs w:val="1"/>
          <w:u w:val="single" w:color="auto"/>
          <w:color w:val="auto"/>
        </w:rPr>
        <w:t>No Bankruptcy Proceedings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Person shall have commenced a proceeding against the Company pursuant to or within the meaning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Bankruptcy Law. The Company shall not have, pursuant to or within the meaning of any Bankruptcy Law, (a) commenced a voluntary case,</w:t>
      </w:r>
    </w:p>
    <w:p>
      <w:pPr>
        <w:spacing w:after="0" w:line="1" w:lineRule="exact"/>
        <w:rPr>
          <w:sz w:val="20"/>
          <w:szCs w:val="20"/>
          <w:color w:val="auto"/>
        </w:rPr>
      </w:pPr>
    </w:p>
    <w:p>
      <w:pPr>
        <w:ind w:left="4" w:hanging="4"/>
        <w:spacing w:after="0" w:line="253" w:lineRule="auto"/>
        <w:tabs>
          <w:tab w:leader="none" w:pos="25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consented to the entry of an order for relief against it in an involuntary case, (c) consented to the appointment of a Custodian of the Company for all or substantially all of the Company’s property, or (d) made a general assignment for the benefit of its creditors. A court of competent jurisdiction shall not have entered an order or decree under any Bankruptcy Law that (I) is for relief against the Company in an involuntary case, (II) appoints a Custodian of the Company for all or substantially all of the Company’s property, or (III) orders the liquidation of the Company or of the Subsidiaries.</w:t>
      </w:r>
    </w:p>
    <w:p>
      <w:pPr>
        <w:spacing w:after="0" w:line="18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 w:right="120" w:firstLine="991"/>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Delivery of Commencement Irrevocable Transfer Agent Instructions and Notice of Effectiveness</w:t>
      </w:r>
      <w:r>
        <w:rPr>
          <w:rFonts w:ascii="Times New Roman" w:cs="Times New Roman" w:eastAsia="Times New Roman" w:hAnsi="Times New Roman"/>
          <w:sz w:val="18"/>
          <w:szCs w:val="18"/>
          <w:color w:val="auto"/>
        </w:rPr>
        <w:t>. The Commencement Irrevocable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Agent Instructions shall have been executed by the Company and delivered to and acknowledged in writing by the Transfer Agent, and the Notice of Effectiveness relating to the Registration Statement shall have been executed by the Company’s outside counsel and delivered to the Transfer Agent.</w:t>
      </w:r>
    </w:p>
    <w:p>
      <w:pPr>
        <w:spacing w:after="0" w:line="176" w:lineRule="exact"/>
        <w:rPr>
          <w:sz w:val="20"/>
          <w:szCs w:val="20"/>
          <w:color w:val="auto"/>
        </w:rPr>
      </w:pPr>
    </w:p>
    <w:p>
      <w:pPr>
        <w:ind w:left="4" w:right="320" w:firstLine="991"/>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Reservation of Shares</w:t>
      </w:r>
      <w:r>
        <w:rPr>
          <w:rFonts w:ascii="Times New Roman" w:cs="Times New Roman" w:eastAsia="Times New Roman" w:hAnsi="Times New Roman"/>
          <w:sz w:val="18"/>
          <w:szCs w:val="18"/>
          <w:color w:val="auto"/>
        </w:rPr>
        <w:t>. As of the Commencement Date, the Company shall have reserved out of its authorized and unissued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sufficient shares of Common Stock solely for the purpose of effecting Fixed Purchases, VWAP Purchases, and Additional VWAP Purchases under this Agreement.</w:t>
      </w:r>
    </w:p>
    <w:p>
      <w:pPr>
        <w:spacing w:after="0" w:line="171" w:lineRule="exact"/>
        <w:rPr>
          <w:sz w:val="20"/>
          <w:szCs w:val="20"/>
          <w:color w:val="auto"/>
        </w:rPr>
      </w:pPr>
    </w:p>
    <w:p>
      <w:pPr>
        <w:ind w:left="4" w:right="80" w:firstLine="991"/>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Opinions of Company Counsel</w:t>
      </w:r>
      <w:r>
        <w:rPr>
          <w:rFonts w:ascii="Times New Roman" w:cs="Times New Roman" w:eastAsia="Times New Roman" w:hAnsi="Times New Roman"/>
          <w:sz w:val="18"/>
          <w:szCs w:val="18"/>
          <w:color w:val="auto"/>
        </w:rPr>
        <w:t>. On the Commencement Date, the Investor shall have received the opinion and negative assurances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outside counsel to the Company, dated the Commencement Date, in the forms mutually agreed to by the Company and the Investor prior to the date of this Agreement.</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66" w:right="459" w:bottom="1440" w:gutter="0" w:footer="0" w:header="0"/>
        </w:sectPr>
      </w:pPr>
    </w:p>
    <w:bookmarkStart w:id="91" w:name="page92"/>
    <w:bookmarkEnd w:id="91"/>
    <w:p>
      <w:pPr>
        <w:ind w:left="4"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6.3. </w:t>
      </w:r>
      <w:r>
        <w:rPr>
          <w:rFonts w:ascii="Times New Roman" w:cs="Times New Roman" w:eastAsia="Times New Roman" w:hAnsi="Times New Roman"/>
          <w:sz w:val="18"/>
          <w:szCs w:val="18"/>
          <w:b w:val="1"/>
          <w:bCs w:val="1"/>
          <w:u w:val="single" w:color="auto"/>
          <w:color w:val="auto"/>
        </w:rPr>
        <w:t>Conditions Precedent to Purchases by Investor</w:t>
      </w:r>
      <w:r>
        <w:rPr>
          <w:rFonts w:ascii="Times New Roman" w:cs="Times New Roman" w:eastAsia="Times New Roman" w:hAnsi="Times New Roman"/>
          <w:sz w:val="18"/>
          <w:szCs w:val="18"/>
          <w:color w:val="auto"/>
        </w:rPr>
        <w:t>. The right of the Company to deliver Fixed Purchase Notices, VWAP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Notices and Additional VWAP Purchase Notices under this Agreement after the Commencement Date, and the obligation of the Investor to accept Fixed Purchase Notices, VWAP Purchase Notices and Additional VWAP Purchase Notices under this Agreement after the Commencement Date, are subject to the satisfaction of each of the conditions set forth in this Section 6.3: (i) with respect to each Fixed Purchase after the Commencement Date, at the time of delivery of the applicable Fixed Purchase Notice to the Investor on the applicable Fixed Purchase Date for such Fixed Purchase, (ii) with respect to each VWAP Purchase after the Commencement Date, (A) at the time of delivery of the applicable VWAP Purchase Notice to the Investor and</w:t>
      </w:r>
    </w:p>
    <w:p>
      <w:pPr>
        <w:spacing w:after="0" w:line="4" w:lineRule="exact"/>
        <w:rPr>
          <w:sz w:val="20"/>
          <w:szCs w:val="20"/>
          <w:color w:val="auto"/>
        </w:rPr>
      </w:pPr>
    </w:p>
    <w:p>
      <w:pPr>
        <w:ind w:left="4" w:right="100" w:hanging="4"/>
        <w:spacing w:after="0" w:line="253" w:lineRule="auto"/>
        <w:tabs>
          <w:tab w:leader="none" w:pos="28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applicable VWAP Purchase Commencement Time on the applicable VWAP Purchase Date for such VWAP Purchase, and (iii) with respect to each Additional VWAP Purchase after the Commencement Date, (A) at the time of delivery of the applicable Additional VWAP Purchase Notice to the Investor and (B) immediately prior to the applicable Additional VWAP Purchase Commencement Time on the applicable Additional VWAP Purchase Date for such Additional VWAP Purchase (each such time referred to in clauses (i), (ii) and (iii) hereof, a “</w:t>
      </w:r>
      <w:r>
        <w:rPr>
          <w:rFonts w:ascii="Times New Roman" w:cs="Times New Roman" w:eastAsia="Times New Roman" w:hAnsi="Times New Roman"/>
          <w:sz w:val="18"/>
          <w:szCs w:val="18"/>
          <w:b w:val="1"/>
          <w:bCs w:val="1"/>
          <w:i w:val="1"/>
          <w:iCs w:val="1"/>
          <w:color w:val="auto"/>
        </w:rPr>
        <w:t>Notice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Time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60" w:firstLine="991"/>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Satisfaction of Certain Prior Conditions</w:t>
      </w:r>
      <w:r>
        <w:rPr>
          <w:rFonts w:ascii="Times New Roman" w:cs="Times New Roman" w:eastAsia="Times New Roman" w:hAnsi="Times New Roman"/>
          <w:sz w:val="18"/>
          <w:szCs w:val="18"/>
          <w:color w:val="auto"/>
        </w:rPr>
        <w:t>. Each of the conditions set forth in subsections (i), (ii), and (vii) through (xv)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Section 6.2 shall be satisfied at the applicable Notice Delivery Time after the Commencement Date (with the terms “Commencement” and “Commencement Date” in the conditions set forth in subsections (i) and (ii) of Section 6.2 replaced with “applicable Notice Delivery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deliver the Compliance Certificate after the Commencement Date, except as provided in Section 5.1 and Section 6.2(ii).</w:t>
      </w:r>
    </w:p>
    <w:p>
      <w:pPr>
        <w:spacing w:after="0" w:line="179"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auto"/>
        </w:rPr>
        <w:t>Any Required New Registration Statement Effective</w:t>
      </w:r>
      <w:r>
        <w:rPr>
          <w:rFonts w:ascii="Times New Roman" w:cs="Times New Roman" w:eastAsia="Times New Roman" w:hAnsi="Times New Roman"/>
          <w:sz w:val="18"/>
          <w:szCs w:val="18"/>
          <w:color w:val="auto"/>
        </w:rPr>
        <w:t>. Any New Registration Statement covering the resale by the Investor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Registrable Securities, included therein, and any post-effective amendment thereto, required to be filed by the Company with the Commission pursuant to the Registration Rights Agreement after the Commencement Date and prior to the applicable Fixed Purchase Date, the applicable VWAP Purchase Date and the applicable Additional VWAP Purchase Date (as applicable), in each case shall have been declared effective under the Securities Act by the Commission and shall remain effective for the applicable Registration Period, and the Investor shall be permitted to utilize the Prospectus therein, and any Prospectus Supplement thereto, to resell (a) all of the then-issued Commitment Shares (if any) included in such New Registration Statement, and any post-effective amendment thereto, (b) all of the Shares included in such New Registration Statement, and any post-effective amendment thereto, that have been issued and sold to the Investor hereunder pursuant to all Fixed Purchase Notices, all VWAP Purchase Notices and all Additional VWAP Purchase Notices (as applicable) delivered by the Company to the Investor prior to such applicable Fixed Purchase Date, such applicable VWAP Purchase Date, and such applicable Additional VWAP Purchase Date, respectively, and (c) all of the Shares included in such new Registration Statement, and any post-effective amendment thereto, that are issuable pursuant to the applicable Fixed Purchase Notice, the applicable VWAP Purchase Notice, and the applicable Additional VWAP Purchase Notice (as applicable) delivered by the Company to the Investor with respect to a Fixed Purchase, a VWAP Purchase, and an Additional VWAP Purchase, respectively, to be effected hereunder on such applicable Fixed Purchase Date, such applicable VWAP Purchase Date, and such Additional VWAP Purchase Date, respectively.</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66" w:right="459" w:bottom="1440" w:gutter="0" w:footer="0" w:header="0"/>
        </w:sectPr>
      </w:pPr>
    </w:p>
    <w:bookmarkStart w:id="92" w:name="page93"/>
    <w:bookmarkEnd w:id="92"/>
    <w:p>
      <w:pPr>
        <w:ind w:left="4" w:right="260" w:firstLine="991"/>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of Subsequent Irrevocable Transfer Agent Instructions and Notice of Effectiveness</w:t>
      </w:r>
      <w:r>
        <w:rPr>
          <w:rFonts w:ascii="Times New Roman" w:cs="Times New Roman" w:eastAsia="Times New Roman" w:hAnsi="Times New Roman"/>
          <w:sz w:val="18"/>
          <w:szCs w:val="18"/>
          <w:color w:val="auto"/>
        </w:rPr>
        <w:t>. With respect to any post-effective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to the Registration Statement or any post-effective amendment to any Registration Statement, in each case declared effective by the Commission after the Commencement Date, the Company shall have delivered or caused to be delivered to the Transfer Agent (a) irrevocable instructions in the form substantially similar to the Commencement Irrevocable Transfer Agent Instructions executed by the Company and acknowledged in writing by the Transfer Agent and (b) the Notice of Effectiveness, in each case modified as necessary to refer to such Registration Statement or post-effective amendment and the Registrable Securities included therein, to issue the Registrable Securities included therein as DWAC Shares in accordance with the terms of this Agreement and the Registration Rights Agreement.</w:t>
      </w:r>
    </w:p>
    <w:p>
      <w:pPr>
        <w:spacing w:after="0" w:line="183" w:lineRule="exact"/>
        <w:rPr>
          <w:sz w:val="20"/>
          <w:szCs w:val="20"/>
          <w:color w:val="auto"/>
        </w:rPr>
      </w:pPr>
    </w:p>
    <w:p>
      <w:pPr>
        <w:ind w:left="4" w:right="60" w:firstLine="991"/>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(a) receipt of any request by the Commission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other federal or state governmental authority for any additional information relating to the Registration Statement or any post-effective amendment thereto, or any New Registration Statement or any post-effective amendment thereto, or the Prospectus contained in any of the foregoing or any Prospectus Supplement thereto; (b) the issuance by the Commission or any other federal or state governmental authority of any stop order suspending the effectiveness of any Registration Statement or any post-effective amendment thereto, or prohibiting or suspending the use of the Prospectus contained in any of the foregoing or any Prospectus Supplement thereto, or of the suspension of qualification or exemption from qualification of the Securities for offering or sale in any jurisdiction, or the initiation or contemplated initiation of any proceeding for such purpose; or</w:t>
      </w:r>
    </w:p>
    <w:p>
      <w:pPr>
        <w:spacing w:after="0" w:line="1" w:lineRule="exact"/>
        <w:rPr>
          <w:sz w:val="20"/>
          <w:szCs w:val="20"/>
          <w:color w:val="auto"/>
        </w:rPr>
      </w:pPr>
    </w:p>
    <w:p>
      <w:pPr>
        <w:ind w:left="4" w:hanging="4"/>
        <w:spacing w:after="0" w:line="251" w:lineRule="auto"/>
        <w:tabs>
          <w:tab w:leader="none" w:pos="24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or the existence of any condition or state of facts, which makes any statement of a material fact made in the Registration Statement or any post-effective amendment thereto, or the Prospectus contained in any of the foregoing or any Prospectus Supplement thereto untrue or which requires the making of any additions to or changes to the statements then made in the Registration Statement or any post-effective amendment thereto, or the Prospectus contained in any of the foregoing or any Prospectus Supplement thereto in order to state a material fact required by the Securities Act to be stated therein or necessary in order to make the statements then made therein (in the case of the Prospectus or any Prospectus Supplement, in light of the circumstances under which they were made) not misleading, or which requires an amendment or any post-effective amendment thereto, any New Registration Statement or any post-effective amendment thereto, or the Prospectus contained in any of the foregoing or any Prospectus Supplement thereto to comply with the Securities Act or any other law (other than the transactions contemplated by the applicable Fixed Purchase Notice, the applicable VWAP Purchase Notice, and the applicable Additional VWAP Purchase Notice (as applicable) delivered by the Company to the Investor with respect to a Fixed Purchase, a VWAP Purchase, and an Additional VWAP Purchase, respectively, to be effected hereunder on such applicable Fixed Purchase Date, such applicable VWAP Purchase Date, and such applicable Additional VWAP Purchase Date, respectively, and the settlement thereof). The Company shall not have any Knowledge of any event that would reasonably be expected to have the effect of causing the suspension of the effectiveness of the Registration Statement or any post-effective amendment thereto, or the prohibition or suspension of the use of the Prospectus contained in any of the foregoing or any Prospectus Supplement thereto in connection with the resale of the Registrable Securities by the Investor.</w:t>
      </w:r>
    </w:p>
    <w:p>
      <w:pPr>
        <w:spacing w:after="0" w:line="12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4"/>
          </w:cols>
          <w:pgMar w:left="436" w:top="266" w:right="479" w:bottom="1440" w:gutter="0" w:footer="0" w:header="0"/>
        </w:sectPr>
      </w:pPr>
    </w:p>
    <w:bookmarkStart w:id="93" w:name="page94"/>
    <w:bookmarkEnd w:id="93"/>
    <w:p>
      <w:pPr>
        <w:ind w:left="4" w:right="100" w:firstLine="991"/>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Commission Filings</w:t>
      </w:r>
      <w:r>
        <w:rPr>
          <w:rFonts w:ascii="Times New Roman" w:cs="Times New Roman" w:eastAsia="Times New Roman" w:hAnsi="Times New Roman"/>
          <w:sz w:val="18"/>
          <w:szCs w:val="18"/>
          <w:color w:val="auto"/>
        </w:rPr>
        <w:t>. The final Prospectus included in any post-effective amendment to any Prospectus required to be filed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with the Commission pursuant to Section 1.3 and the Registration Rights Agreement after the Commencement Date and prior to the applicable Fixed Purchase Date and the applicable VWAP Purchase Date and Additional VWAP Purchase Date (as applicable), shall have been filed with the Commission in accordance with Section 1.3 and the Registration Rights Agreement. The final Prospectus included in any New Registration Statement and in any post-effective amendment thereto, and any Prospectus Supplement thereto, required to be filed by the Company with the Commission pursuant to Section 1.3 and the Registration Rights Agreement after the Commencement Date and prior to the applicable Fixed Purchase Date and the applicable VWAP Purchase Date and Additional VWAP Purchase Date (as applicable), shall have been filed with the Commission in accordance with Section 1.3 and the Registration Rights Agreement. All reports, schedules, registrations, forms, statements, information and other documents required to have been filed by the Company with the Commission pursuant to the reporting requirements of the Exchange Act, including all material required to have been filed pursuant to Section 13(a) or 15(d) of the Exchange Act, after the Commencement Date and prior to the applicable Fixed Purchase Date and the applicable VWAP Purchase Date and Additional VWAP Purchase Date (as applicable), shall have been filed with the Commission and, if any Registrable Securities are covered by a Registration Statement on Form S-3, such filings shall have been made within the applicable time period prescribed for such filing under the Exchange Act.</w:t>
      </w:r>
    </w:p>
    <w:p>
      <w:pPr>
        <w:spacing w:after="0" w:line="187"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No Suspension of Trading in or Notice of Delisting of Common Stock</w:t>
      </w:r>
      <w:r>
        <w:rPr>
          <w:rFonts w:ascii="Times New Roman" w:cs="Times New Roman" w:eastAsia="Times New Roman" w:hAnsi="Times New Roman"/>
          <w:sz w:val="18"/>
          <w:szCs w:val="18"/>
          <w:color w:val="auto"/>
        </w:rPr>
        <w:t>. Trading in the Common Stock shall not have been suspended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Commission, the Trading Market or FINRA (except for any suspension of trading of limited duration agreed to by the Company, which suspension shall be terminated prior to the applicable Fixed Purchase Date, VWAP Purchase Date or Additional VWAP Purchase Date, as applicable), the Company shall not have received any final and non-appealable notice that the listing or quotation of the Common Stock on the Trading Market shall be terminated on a date certain (unless, prior to such date certain, the Common Stock is listed or quoted on any other Eligible Market), nor shall there have been imposed any suspension of, or restriction on, accepting additional deposits of the Common Stock, electronic trading or book-entry services by DTC with respect to the Common Stock that is continuing, the Company shall not have received any notice from DTC to the effect that a suspension of, or restriction on, accepting additional deposits of the Common Stock, electronic trading or book-entry services by DTC with respect to the Common Stock is being imposed or is contemplated (unless, prior to such suspension or restriction, DTC shall have notified the Company in writing that DTC has determined not to impose any such suspension or restriction).</w:t>
      </w:r>
    </w:p>
    <w:p>
      <w:pPr>
        <w:spacing w:after="0" w:line="185" w:lineRule="exact"/>
        <w:rPr>
          <w:sz w:val="20"/>
          <w:szCs w:val="20"/>
          <w:color w:val="auto"/>
        </w:rPr>
      </w:pPr>
    </w:p>
    <w:p>
      <w:pPr>
        <w:ind w:left="4" w:right="240" w:firstLine="991"/>
        <w:spacing w:after="0" w:line="274" w:lineRule="auto"/>
        <w:rPr>
          <w:sz w:val="20"/>
          <w:szCs w:val="20"/>
          <w:color w:val="auto"/>
        </w:rPr>
      </w:pPr>
      <w:r>
        <w:rPr>
          <w:rFonts w:ascii="Times New Roman" w:cs="Times New Roman" w:eastAsia="Times New Roman" w:hAnsi="Times New Roman"/>
          <w:sz w:val="17"/>
          <w:szCs w:val="17"/>
          <w:b w:val="1"/>
          <w:bCs w:val="1"/>
          <w:u w:val="single" w:color="auto"/>
          <w:color w:val="auto"/>
        </w:rPr>
        <w:t>Certain Limitations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issuance and sale of the Shares issuable pursuant to the applicable Fixed Purchase Notice, applicable VWAP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Purchase Notice, and applicable Additional VWAP Purchase Notice (as applicable) shall not (a) exceed the applicable Fixed Purchase Maximum Amount, the applicable VWAP Purchase Maximum Amount and the applicable Additional VWAP Purchase Maximum Amount, respectively, or</w:t>
      </w:r>
    </w:p>
    <w:p>
      <w:pPr>
        <w:spacing w:after="0" w:line="1" w:lineRule="exact"/>
        <w:rPr>
          <w:sz w:val="20"/>
          <w:szCs w:val="20"/>
          <w:color w:val="auto"/>
        </w:rPr>
      </w:pPr>
    </w:p>
    <w:p>
      <w:pPr>
        <w:ind w:left="5424" w:right="4780" w:hanging="5424"/>
        <w:spacing w:after="0" w:line="356" w:lineRule="auto"/>
        <w:tabs>
          <w:tab w:leader="none" w:pos="261"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the Aggregate Limit or the Beneficial Ownership Limitation to be exceeded. 36</w:t>
      </w:r>
    </w:p>
    <w:p>
      <w:pPr>
        <w:sectPr>
          <w:pgSz w:w="11900" w:h="16838" w:orient="portrait"/>
          <w:cols w:equalWidth="0" w:num="1">
            <w:col w:w="10984"/>
          </w:cols>
          <w:pgMar w:left="436" w:top="266" w:right="479" w:bottom="1440" w:gutter="0" w:footer="0" w:header="0"/>
        </w:sectPr>
      </w:pPr>
    </w:p>
    <w:bookmarkStart w:id="94" w:name="page95"/>
    <w:bookmarkEnd w:id="94"/>
    <w:p>
      <w:pPr>
        <w:ind w:left="4" w:right="20" w:firstLine="991"/>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Authorized and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Shares issuable pursuant to the applicable Fixed Purchase Notice, the applicable VWAP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Notice, and the applicable Additional VWAP Purchase Notice (as applicable) shall have been duly authorized by all necessary corporate action of the Company. All Shares relating to all prior Fixed Purchase Notices, VWAP Purchase Notices, and Additional VWAP Purchase Notices required to have been received by the Investor as DWAC Shares under this Agreement prior to the applicable Notice Delivery Time for the applicable Fixed Purchase, applicable VWAP Purchase and applicable Additional VWAP Purchase (as applicable) shall have been delivered to the Investor as DWAC Shares in accordance with this Agreement.</w:t>
      </w:r>
    </w:p>
    <w:p>
      <w:pPr>
        <w:spacing w:after="0" w:line="182" w:lineRule="exact"/>
        <w:rPr>
          <w:sz w:val="20"/>
          <w:szCs w:val="20"/>
          <w:color w:val="auto"/>
        </w:rPr>
      </w:pPr>
    </w:p>
    <w:p>
      <w:pPr>
        <w:ind w:left="4" w:right="40" w:firstLine="991"/>
        <w:spacing w:after="0" w:line="278" w:lineRule="auto"/>
        <w:rPr>
          <w:sz w:val="20"/>
          <w:szCs w:val="20"/>
          <w:color w:val="auto"/>
        </w:rPr>
      </w:pPr>
      <w:r>
        <w:rPr>
          <w:rFonts w:ascii="Times New Roman" w:cs="Times New Roman" w:eastAsia="Times New Roman" w:hAnsi="Times New Roman"/>
          <w:sz w:val="17"/>
          <w:szCs w:val="17"/>
          <w:b w:val="1"/>
          <w:bCs w:val="1"/>
          <w:u w:val="single" w:color="auto"/>
          <w:color w:val="auto"/>
        </w:rPr>
        <w:t>Bring Down Opinions of Company Counsel</w:t>
      </w:r>
      <w:r>
        <w:rPr>
          <w:rFonts w:ascii="Times New Roman" w:cs="Times New Roman" w:eastAsia="Times New Roman" w:hAnsi="Times New Roman"/>
          <w:sz w:val="17"/>
          <w:szCs w:val="17"/>
          <w:color w:val="auto"/>
        </w:rPr>
        <w:t>. The Investor shall have received (a) all Bring Down Opinions from outside counsel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for which the Company was obligated to instruct their outside counsel to deliver to the Investor prior to the applicable Notice Delivery Time for the applicable Fixed Purchase, applicable VWAP Purchase, and applicable Additional VWAP Purchase (as applicable) and (b) all Compliance Certificates from the Company that the Company was obligated to deliver to the Investor prior to the applicable Notice Delivery Time for the applicable Fixed Purchase, applicable VWAP Purchase and applicable Additional VWAP Purchase (as applicable), in each case in accordance with Section 5.15.</w:t>
      </w:r>
    </w:p>
    <w:p>
      <w:pPr>
        <w:spacing w:after="0" w:line="38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3" w:lineRule="exact"/>
        <w:rPr>
          <w:sz w:val="20"/>
          <w:szCs w:val="20"/>
          <w:color w:val="auto"/>
        </w:rPr>
      </w:pPr>
    </w:p>
    <w:p>
      <w:pPr>
        <w:ind w:left="4" w:right="40"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Section 7.1. </w:t>
      </w:r>
      <w:r>
        <w:rPr>
          <w:rFonts w:ascii="Times New Roman" w:cs="Times New Roman" w:eastAsia="Times New Roman" w:hAnsi="Times New Roman"/>
          <w:sz w:val="17"/>
          <w:szCs w:val="17"/>
          <w:b w:val="1"/>
          <w:bCs w:val="1"/>
          <w:u w:val="single" w:color="auto"/>
          <w:color w:val="auto"/>
        </w:rPr>
        <w:t>Automatic Termination; Termination by Consent</w:t>
      </w:r>
      <w:r>
        <w:rPr>
          <w:rFonts w:ascii="Times New Roman" w:cs="Times New Roman" w:eastAsia="Times New Roman" w:hAnsi="Times New Roman"/>
          <w:sz w:val="17"/>
          <w:szCs w:val="17"/>
          <w:color w:val="auto"/>
        </w:rPr>
        <w:t>. Unless earlier terminated as provided hereunder, this Agreement shall terminate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automatically, without any further action or notice by any Person, on the earliest to occur of (i) the expiration of the Registration Statement pursuant to Rule 415(a)(5) of the Securities Act, (ii) the date on which the Investor shall have purchased the Aggregate Limit of Shares pursuant to this Agreement,</w:t>
      </w:r>
    </w:p>
    <w:p>
      <w:pPr>
        <w:spacing w:after="0" w:line="1" w:lineRule="exact"/>
        <w:rPr>
          <w:sz w:val="20"/>
          <w:szCs w:val="20"/>
          <w:color w:val="auto"/>
        </w:rPr>
      </w:pPr>
    </w:p>
    <w:p>
      <w:pPr>
        <w:ind w:left="4" w:hanging="4"/>
        <w:spacing w:after="0" w:line="202" w:lineRule="auto"/>
        <w:tabs>
          <w:tab w:leader="none" w:pos="319"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Common Stock shall have failed to be listed or quoted on the Trading Market or any Eligible Market, (iv) the thirtieth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Trading Day next following the date on which, pursuant to or within the meaning of any Bankruptcy Law, the Company commences a voluntary case or any Person commences a proceeding against the Company, in each case that is not discharged or dismissed prior to such thirtieth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Trading Day, and</w:t>
      </w:r>
    </w:p>
    <w:p>
      <w:pPr>
        <w:spacing w:after="0" w:line="1" w:lineRule="exact"/>
        <w:rPr>
          <w:rFonts w:ascii="Times New Roman" w:cs="Times New Roman" w:eastAsia="Times New Roman" w:hAnsi="Times New Roman"/>
          <w:sz w:val="17"/>
          <w:szCs w:val="17"/>
          <w:color w:val="auto"/>
        </w:rPr>
      </w:pPr>
    </w:p>
    <w:p>
      <w:pPr>
        <w:ind w:left="4" w:right="40" w:hanging="4"/>
        <w:spacing w:after="0" w:line="253" w:lineRule="auto"/>
        <w:tabs>
          <w:tab w:leader="none" w:pos="25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pursuant to or within the meaning of any Bankruptcy Law, a Custodian is appointed for the Company or for all or substantially all of its property, or the Company makes a general assignment for the benefit of its creditors. Subject to Section 7.3, this Agreement may be terminated at any time by the mutual written consent of the parties, effective as of the date of such mutual written consent unless otherwise provided in such written consent.</w:t>
      </w:r>
    </w:p>
    <w:p>
      <w:pPr>
        <w:spacing w:after="0" w:line="183" w:lineRule="exact"/>
        <w:rPr>
          <w:sz w:val="20"/>
          <w:szCs w:val="20"/>
          <w:color w:val="auto"/>
        </w:rPr>
      </w:pPr>
    </w:p>
    <w:p>
      <w:pPr>
        <w:ind w:left="4" w:righ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b w:val="1"/>
          <w:bCs w:val="1"/>
          <w:u w:val="single" w:color="auto"/>
          <w:color w:val="auto"/>
        </w:rPr>
        <w:t>Other Termination</w:t>
      </w:r>
      <w:r>
        <w:rPr>
          <w:rFonts w:ascii="Times New Roman" w:cs="Times New Roman" w:eastAsia="Times New Roman" w:hAnsi="Times New Roman"/>
          <w:sz w:val="18"/>
          <w:szCs w:val="18"/>
          <w:color w:val="auto"/>
        </w:rPr>
        <w:t>. Subject to Section 7.3, the Company may terminate this Agreement after the Commencement Date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upon one (1) Trading Day’s prior written notice to the Investor in accordance with Section 9.4;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the Company shall have issued all applicable Commitment Shares to the Investor and shall have paid all fees and amounts to the Investor’s counsel required to be paid pursuant to Section 9.1 of this Agreement prior to such termination, and (ii) prior to issuing any press release, or making any public statement or announcement, with respect to such termination, the Company shall consult with the Investor and its counsel on the form and substance of such press release or other disclosure, which consent shall not be unreasonably delayed or withheld. Subject to Section 7.3, this Agreement may be terminated at any time by the mutual written consent of the parties, effective as of the date of such mutual written consent unless otherwise provided in such written consent. Subject to Section 7.3, the Investor shall have the right to terminate this Agreement effective upon ten (10) Trading Days’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66" w:right="459" w:bottom="1440" w:gutter="0" w:footer="0" w:header="0"/>
        </w:sectPr>
      </w:pPr>
    </w:p>
    <w:bookmarkStart w:id="95" w:name="page96"/>
    <w:bookmarkEnd w:id="95"/>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written notice to the Company in accordance with Section 9.4, if: (a) any condition, occurrence, state of facts or event constituting a Material Adverse Effect has occurred and is continuing; (b) a Fundamental Transaction shall have occurred; (c) the Registration Statement is not filed by the applicable Filing Deadline therefor or declared effective by the Commission by the applicable Effectiveness Deadline (as defined in the Registration Rights Agreement) therefor, or the Company is otherwise in breach or default in any material respect under any of the other provisions of the Registration Rights Agreement, and, if such failure, breach or default is capable of being cured, such failure, breach or default is not cured within 10 Trading Days after notice of such failure, breach or default is delivered to the Company pursuant to Section 9.4; (d) while a Registration Statement, or any post-effective amendment thereto, is required to be maintained effective pursuant to the terms of the Registration Rights Agreement and the Investor holds any Registrable Securities, the effectiveness of such Registration Statement, or any post-effective amendment thereto, lapses for any reason (including, without limitation, the issuance of a stop order by the Commission) or such Registration Statement or any post-effective amendment thereto, the Prospectus contained therein or any Prospectus Supplement thereto otherwise becomes unavailable to the Investor for the resale of all of the Registrable Securities included therein in accordance with the terms of the Registration Rights Agreement, and such lapse or unavailability continues for a period of 20 consecutive Trading Days, other than due to acts of the Investor; (e) trading in the Common Stock on the Trading Market (or if the Common Stock is then listed or quoted on an Eligible Market, trading in the Common Stock on such Eligible Market) shall have been suspended and such suspension continues for a period of five (5) consecutive Trading Days; or (f) the Company is in material breach or default of this Agreement, and, if such breach or default is capable of being cured, such breach or default is not cured within 10 Trading Days after notice of such breach or default is delivered to the Company (as applicable) pursuant to Section 9.4. Unless notification thereof is required elsewhere in this Agreement (in which case such notification shall be provided in accordance with such other provision), the Company shall promptly (but in no event later than 24 hours) notify the Investor (and, if required under Applicable Law, including, without limitation, Regulation FD promulgated by the Commission, or under the applicable rules and regulations of the Trading Market (or if the Common Stock is then listed on an Eligible Market, the rules and regulations of such Eligible Market), the Company shall publicly disclose such information in accordance with Regulation FD and the applicable rules and regulations of the Trading Market, or the applicable rules and regulations of such Eligible Market, as applicable) upon becoming aware of any of the events set forth in the immediately preceding sentence.</w:t>
      </w:r>
    </w:p>
    <w:p>
      <w:pPr>
        <w:spacing w:after="0" w:line="20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7.3. </w:t>
      </w:r>
      <w:r>
        <w:rPr>
          <w:rFonts w:ascii="Times New Roman" w:cs="Times New Roman" w:eastAsia="Times New Roman" w:hAnsi="Times New Roman"/>
          <w:sz w:val="18"/>
          <w:szCs w:val="18"/>
          <w:b w:val="1"/>
          <w:bCs w:val="1"/>
          <w:u w:val="single" w:color="auto"/>
          <w:color w:val="auto"/>
        </w:rPr>
        <w:t>Effect of Termination</w:t>
      </w:r>
      <w:r>
        <w:rPr>
          <w:rFonts w:ascii="Times New Roman" w:cs="Times New Roman" w:eastAsia="Times New Roman" w:hAnsi="Times New Roman"/>
          <w:sz w:val="18"/>
          <w:szCs w:val="18"/>
          <w:color w:val="auto"/>
        </w:rPr>
        <w:t>. In the event of termination by the Company or the Investor (other than by mutual termination)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7.2, written notice thereof shall forthwith be given to the other party as provided in Section 9.4 and the transactions contemplated by this Agreement shall be terminated without further action by either party. If this Agreement is terminated as provided in Section 7.1 or Section 7.2, this Agreement shall become void and of no further force and effect, except that (i) the provisions of Article VIII (Indemnification), Article IX (Miscellaneous) and this Article VII (Termination) shall remain in full force and effect indefinitely notwithstanding such termination and (ii) so long as the Investor owns any Securities, the covenants and agreements of the Company contained in Article V (Covenants) shall remain in full force and effect for a period of six (6) months following such termination. Notwithstanding anything in this Agreement to the contrary, no termination of this Agreement by any party shall (i) become effective prior to the first Trading Day immediately following the settlement date related to any pending Fixed Purchase Notice, any pending VWAP Purchase Notice, or any pending</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96" w:name="page97"/>
    <w:bookmarkEnd w:id="96"/>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Additional VWAP Purchase Notice (as applicable) that has not been fully settled in accordance with the terms and conditions of this Agreement (it being hereby acknowledged and agreed that no termination of this Agreement shall limit, alter, modify, change or otherwise affect any of the parties’ respective rights or obligations under the Transaction Documents with respect to any pending Fixed Purchase, pending VWAP Purchase, and pending Additional VWAP Purchase (as applicable), and that the parties shall fully perform their respective obligations with respect to any such pending Fixed Purchase, any such pending VWAP Purchase, and any such pending Additional VWAP Purchase (as applicable) under the Transaction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all of the conditions to the settlement thereof set forth in Article VI are timely satisfied), (ii) limit, alter, modify, change or otherwise affect the parties’ respective rights or obligations under the Registration Rights Agreement, all of which shall survive any such termination, (iii) affect the Investor Expense Reimbursement paid to the Investor, all of which shall be non-refundable when paid as of the Closing Date pursuant to Section 9.1(i), regardless of whether any Fixed Purchases, VWAP Purchases, or Additional VWAP Purchases are made or settled hereunder or any subsequent termination of this Agreement, or (iv) affect any Commitment Shares previously issued or delivered, or any rights of any holder thereof, it being hereby acknowledged and agreed that all of the Commitment Shares shall be fully earned as of the Closing Date, regardless of whether any Fixed Purchases, VWAP Purchases or Additional VWAP Purchases are made or settled hereunder or any subsequent termination of this Agreement. Nothing in this Section 7.3 shall be deemed to release the Company or the Investor from any liability for any breach or default under this Agreement or any of the other Transaction Documents to which it is a party, or to impair the respective rights of the Company and the Investor to compel specific performance by the other party of its obligations under the Transaction Documents to which it is a party.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3"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Section 8.1. </w:t>
      </w:r>
      <w:r>
        <w:rPr>
          <w:rFonts w:ascii="Times New Roman" w:cs="Times New Roman" w:eastAsia="Times New Roman" w:hAnsi="Times New Roman"/>
          <w:sz w:val="17"/>
          <w:szCs w:val="17"/>
          <w:b w:val="1"/>
          <w:bCs w:val="1"/>
          <w:u w:val="single" w:color="auto"/>
          <w:color w:val="auto"/>
        </w:rPr>
        <w:t>Indemnification of Investor</w:t>
      </w:r>
      <w:r>
        <w:rPr>
          <w:rFonts w:ascii="Times New Roman" w:cs="Times New Roman" w:eastAsia="Times New Roman" w:hAnsi="Times New Roman"/>
          <w:sz w:val="17"/>
          <w:szCs w:val="17"/>
          <w:color w:val="auto"/>
        </w:rPr>
        <w:t>. In consideration of the Investor’s execution and delivery of this Agreement and acquiring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Securities hereunder and in addition to all of the other respective obligations of the Company under the Transaction Documents to which it is a party, subject to the provisions of this Section 8.1, the Company shall indemnify and hold harmless the Investor, each of its directors, officers, shareholders, members, partners, employees, representatives, agents and advisors (and any other Persons with a functionally equivalent role of a Person holding such titles notwithstanding the lack of such title or any other title), each Person, if any, who controls the Investor (within the meaning of Section 15 of the Securities Act or Section 20(a) of the Exchange Act), and the respective directors, officers, shareholders, members, partners, employees, representatives, agents and advisors (and any other Persons with a functionally equivalent role of a Person holding such titles notwithstanding the lack of such title or any other title) of such controlling Persons (each, an “</w:t>
      </w:r>
      <w:r>
        <w:rPr>
          <w:rFonts w:ascii="Times New Roman" w:cs="Times New Roman" w:eastAsia="Times New Roman" w:hAnsi="Times New Roman"/>
          <w:sz w:val="17"/>
          <w:szCs w:val="17"/>
          <w:b w:val="1"/>
          <w:bCs w:val="1"/>
          <w:i w:val="1"/>
          <w:iCs w:val="1"/>
          <w:color w:val="auto"/>
        </w:rPr>
        <w:t>Investor Party</w:t>
      </w:r>
      <w:r>
        <w:rPr>
          <w:rFonts w:ascii="Times New Roman" w:cs="Times New Roman" w:eastAsia="Times New Roman" w:hAnsi="Times New Roman"/>
          <w:sz w:val="17"/>
          <w:szCs w:val="17"/>
          <w:color w:val="auto"/>
        </w:rPr>
        <w:t>”), from and against all losses, liabilities, obligations, claims, contingencies, damages, costs and expenses (including all judgments, amounts paid in settlement, court costs, reasonable attorneys’ fees and costs of defense and investigation) (collectively, “</w:t>
      </w:r>
      <w:r>
        <w:rPr>
          <w:rFonts w:ascii="Times New Roman" w:cs="Times New Roman" w:eastAsia="Times New Roman" w:hAnsi="Times New Roman"/>
          <w:sz w:val="17"/>
          <w:szCs w:val="17"/>
          <w:b w:val="1"/>
          <w:bCs w:val="1"/>
          <w:i w:val="1"/>
          <w:iCs w:val="1"/>
          <w:color w:val="auto"/>
        </w:rPr>
        <w:t>Damages</w:t>
      </w:r>
      <w:r>
        <w:rPr>
          <w:rFonts w:ascii="Times New Roman" w:cs="Times New Roman" w:eastAsia="Times New Roman" w:hAnsi="Times New Roman"/>
          <w:sz w:val="17"/>
          <w:szCs w:val="17"/>
          <w:color w:val="auto"/>
        </w:rPr>
        <w:t>”) that any Investor Party may suffer or incur as a result of or relating to (a) any breach of any of the representations, warranties, covenants or agreements made by the Company in this Agreement or in the other Transaction Documents to which it is a party or (b) any action, suit, claim or proceeding (including for these purposes a derivative action brought on behalf of the Company) instituted against such Investor Party arising out of or resulting from the execution, delivery, performance or enforcement of the Transaction Documents, other than claims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70" w:right="439" w:bottom="1440" w:gutter="0" w:footer="0" w:header="0"/>
        </w:sectPr>
      </w:pPr>
    </w:p>
    <w:bookmarkStart w:id="97" w:name="page98"/>
    <w:bookmarkEnd w:id="9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indemnification within the scope of Section 6 of the Registration Rights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the foregoing indemnity shall not apply to any Damages to the extent, but only to the extent, that such Damages resulted directly and primarily from any acts or failures to act, undertaken or omitted to be taken by such Investor Party through its fraud, bad faith, gross negligence, or willful or reckless misconduct. Provided further, the Company shall not be liable under this Section 8.1(a) to the extent that a court of competent jurisdiction shall have determined by a final judgment (from which no further appeals are available) that such loss, claim, damage, liability or expense resulted directly and solely from any such acts or failures to act, undertaken or omitted to be taken by the Investor or such Person through its gross negligence or willful misconduct, (B) the foregoing indemnity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or on behalf of the Investor expressly for use in the Current Report or any Prospectus Supplement, or any amendment thereof or supplement thereto, and (C) with respect to the Prospectus, the foregoing indemnity shall not inure to the benefit of the Investor or any such Person from whom the Person asserting any loss, claim, damage, liability or expense purchased Common Stock, if copies of all Prospectus Supplements required to be filed pursuant to Section 1.3, together with the Base Prospectus, were timely delivered or made available to the Investor pursuant hereto and a copy of the Base Prospectus, together with a Prospectus Supplement (as applicable), was not sent or given by or on behalf of the Investor or any such Person to such Person, if required by law to have been delivered, at or prior to the written confirmation of the sale of the Common Stock to such Person, and if delivery of the Base Prospectus, together with a Prospectus Supplement (as applicable), would have cured the defect giving rise to such loss, claim, damage, liability or expense.</w:t>
      </w:r>
    </w:p>
    <w:p>
      <w:pPr>
        <w:spacing w:after="0" w:line="19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Company shall reimburse any Investor Party promptly upon demand (with accompanying presentation of documentary evidence) for all legal and other costs and expenses reasonably incurred by such Investor Party in connection with (i) any action, suit, claim or proceeding, whether at law or in equity, to enforce compliance by the Company with any provision of the Transaction Documents to which it is a party or (ii) any other any action, suit, claim or proceeding, whether at law or in equity, with respect to which it is entitled to indemnification under this Section 8.1;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Investor shall promptly reimburse the Company for all such legal and other costs and expenses to the extent a court of competent jurisdiction determines that any Investor Party was not entitled to such reimbursement.</w:t>
      </w:r>
    </w:p>
    <w:p>
      <w:pPr>
        <w:spacing w:after="0" w:line="187" w:lineRule="exact"/>
        <w:rPr>
          <w:sz w:val="20"/>
          <w:szCs w:val="20"/>
          <w:color w:val="auto"/>
        </w:rPr>
      </w:pPr>
    </w:p>
    <w:p>
      <w:pPr>
        <w:ind w:right="60" w:firstLine="440"/>
        <w:spacing w:after="0" w:line="277" w:lineRule="auto"/>
        <w:rPr>
          <w:sz w:val="20"/>
          <w:szCs w:val="20"/>
          <w:color w:val="auto"/>
        </w:rPr>
      </w:pPr>
      <w:r>
        <w:rPr>
          <w:rFonts w:ascii="Times New Roman" w:cs="Times New Roman" w:eastAsia="Times New Roman" w:hAnsi="Times New Roman"/>
          <w:sz w:val="17"/>
          <w:szCs w:val="17"/>
          <w:color w:val="auto"/>
        </w:rPr>
        <w:t>An Investor Party’s right to indemnification or other remedies based upon the representations, warranties, covenants and agreements of the Company set forth in the Transaction Documents to which it is a party shall not in any way be affected by any investigation or knowledge of such Investor Party. Such representations, warranties, covenants and agreements shall not be affected or deemed waived by reason of the fact that an Investor Party knew or should have known that any representation or warranty might be inaccurate or that the Company failed to comply with any agreement or covenant. Any investigation by such Investor Party shall be for its own protection only and shall not affect or impair any right or remedy hereunder.</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98" w:name="page99"/>
    <w:bookmarkEnd w:id="98"/>
    <w:p>
      <w:pPr>
        <w:ind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that the foregoing joint and several undertakings by the Company set forth in this Section 8.1 may be unenforceable for any reason, the Company shall make the maximum contribution to the payment and satisfaction of each of the Damages which is permissible under Applicable Law.</w:t>
      </w:r>
    </w:p>
    <w:p>
      <w:pPr>
        <w:spacing w:after="0" w:line="13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8.2. </w:t>
      </w:r>
      <w:r>
        <w:rPr>
          <w:rFonts w:ascii="Times New Roman" w:cs="Times New Roman" w:eastAsia="Times New Roman" w:hAnsi="Times New Roman"/>
          <w:sz w:val="18"/>
          <w:szCs w:val="18"/>
          <w:b w:val="1"/>
          <w:bCs w:val="1"/>
          <w:u w:val="single" w:color="auto"/>
          <w:color w:val="auto"/>
        </w:rPr>
        <w:t>Indemnification Procedures</w:t>
      </w:r>
      <w:r>
        <w:rPr>
          <w:rFonts w:ascii="Times New Roman" w:cs="Times New Roman" w:eastAsia="Times New Roman" w:hAnsi="Times New Roman"/>
          <w:sz w:val="18"/>
          <w:szCs w:val="18"/>
          <w:color w:val="auto"/>
        </w:rPr>
        <w:t>. Promptly after an Investor Party receives notice of a claim or the commencement of an action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the Investor Party intends to seek indemnification under Section 8.1, the Investor Party will notify the Company in writing of the claim or commencement of the action, suit or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failure to notify the Company will not relieve the Company from liability under Section 8.1, except to the extent it has been materially prejudiced by the failure to give notice. The Company will be entitled to participate in the defense of any claim, action, suit or proceeding as to which indemnification is being sought, and if the Company acknowledges in writing the obligation to indemnify the Investor Party against whom the claim or action is brought, the Company may (but will not be required to) assume the defense against the claim, action, suit or proceeding with counsel satisfactory to it. After the Company notifies the Investor Party that the Company wishes to assume the defense of a claim, action, suit or proceeding, the Company will not be liable for any further legal or other expenses incurred by the Investor Party in connection with the defense against the claim, action, suit or proceeding except that if, in the opinion of counsel to the Investor Party, it would be inappropriate under the applicable rules of professional responsibility for the same counsel to represent both the Company and such Investor Party. In such event, the Company will pay the reasonable fees and expenses of no more than one separate counsel for all such Investor Parties promptly as such fees and expenses are incurred. Each Investor Party, as a condition to receiving indemnification as provided in Section 8.1, will cooperate in all reasonable respects with the Company in the defense of any action or claim as to which indemnification is sought. The Company will not be liable for any settlement of any action effected without its prior written consent, which consent shall not be unreasonably withheld, delayed or conditioned. The Company will not, without the prior written consent of the Investor Party, effect any settlement of a pending or threatened action with respect to which an Investor Party is, or is informed that it may be, made a party and for which it would be entitled to indemnification, unless the settlement includes an unconditional release of the Investor Party from all liability and claims which are the subject matter of the pending or threatened action.</w:t>
      </w:r>
    </w:p>
    <w:p>
      <w:pPr>
        <w:spacing w:after="0" w:line="19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remedies provided for in this Article VIII are not exclusive and shall not limit any rights or remedies which may otherwise be available to any Investor Party at law or in equity.</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9.1. </w:t>
      </w:r>
      <w:r>
        <w:rPr>
          <w:rFonts w:ascii="Times New Roman" w:cs="Times New Roman" w:eastAsia="Times New Roman" w:hAnsi="Times New Roman"/>
          <w:sz w:val="18"/>
          <w:szCs w:val="18"/>
          <w:b w:val="1"/>
          <w:bCs w:val="1"/>
          <w:u w:val="single" w:color="auto"/>
          <w:color w:val="auto"/>
        </w:rPr>
        <w:t>Certain Fees and Expenses; Commitment Shares; Commencement Irrevocable Transfer Agent Instructions.</w:t>
      </w:r>
    </w:p>
    <w:p>
      <w:pPr>
        <w:spacing w:after="0" w:line="225"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Certain Fees and Expenses</w:t>
      </w:r>
      <w:r>
        <w:rPr>
          <w:rFonts w:ascii="Times New Roman" w:cs="Times New Roman" w:eastAsia="Times New Roman" w:hAnsi="Times New Roman"/>
          <w:sz w:val="18"/>
          <w:szCs w:val="18"/>
          <w:color w:val="auto"/>
        </w:rPr>
        <w:t>. Each party shall bear its own fees and expenses related to the transactions contemplated by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immediately following the execution of this Agreement, the Company shall pay, by wire transfer of immediately available funds to an account designated by the Investor, an amount equal to $35,000 to be applied against the Investor’s reasonable out-of-pocket expenses, including the legal fees and disbursements of the Investor’s legal counsel, incurred by the Investor in connection with the preparation, negotiation, execution and delivery of the Transaction Documents by the Investor and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440" w:top="270" w:right="479" w:bottom="1440" w:gutter="0" w:footer="0" w:header="0"/>
        </w:sectPr>
      </w:pPr>
    </w:p>
    <w:bookmarkStart w:id="99" w:name="page100"/>
    <w:bookmarkEnd w:id="99"/>
    <w:p>
      <w:pPr>
        <w:ind w:right="200"/>
        <w:spacing w:after="0" w:line="28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its due diligence investigation of the Company (such amount, the “</w:t>
      </w:r>
      <w:r>
        <w:rPr>
          <w:rFonts w:ascii="Times New Roman" w:cs="Times New Roman" w:eastAsia="Times New Roman" w:hAnsi="Times New Roman"/>
          <w:sz w:val="17"/>
          <w:szCs w:val="17"/>
          <w:b w:val="1"/>
          <w:bCs w:val="1"/>
          <w:i w:val="1"/>
          <w:iCs w:val="1"/>
          <w:color w:val="auto"/>
        </w:rPr>
        <w:t>Investor Expense Reimbursement</w:t>
      </w:r>
      <w:r>
        <w:rPr>
          <w:rFonts w:ascii="Times New Roman" w:cs="Times New Roman" w:eastAsia="Times New Roman" w:hAnsi="Times New Roman"/>
          <w:sz w:val="17"/>
          <w:szCs w:val="17"/>
          <w:color w:val="auto"/>
        </w:rPr>
        <w:t>”). For the avoidance of doubt, the Investor Expense Reimbursement, shall be non-refundable when paid as of the Closing Date, regardless of whether any Fixed Purchases, VWAP Purchases or Additional VWAP Purchases are made or settled hereunder or any subsequent termination of this Agreement. The Company shall pay all U.S. federal, state and local stamp and other similar transfer and other taxes and duties levied in connection with issuance of the Securities pursuant hereto.</w:t>
      </w:r>
    </w:p>
    <w:p>
      <w:pPr>
        <w:spacing w:after="0" w:line="161" w:lineRule="exact"/>
        <w:rPr>
          <w:sz w:val="20"/>
          <w:szCs w:val="20"/>
          <w:color w:val="auto"/>
        </w:rPr>
      </w:pPr>
    </w:p>
    <w:p>
      <w:pPr>
        <w:ind w:right="80" w:firstLine="991"/>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Commitment Shares</w:t>
      </w:r>
      <w:r>
        <w:rPr>
          <w:rFonts w:ascii="Times New Roman" w:cs="Times New Roman" w:eastAsia="Times New Roman" w:hAnsi="Times New Roman"/>
          <w:sz w:val="18"/>
          <w:szCs w:val="18"/>
          <w:color w:val="auto"/>
        </w:rPr>
        <w:t>. In consideration for the Investor’s execution and delivery of this Agreement, the Company shall issue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 Shares to the Investor or its designee not later than 4:00 p.m. (New York City time) on the Effective Date. The Commitment Shares shall be included in the Registration Statement. For the avoidance of doubt, all of the Commitment Shares shall be fully earned as of the Closing Date, regardless of whether any Fixed Purchases or VWAP Purchases are effected hereunder and regardless of any subsequent termination of this Agreement. The Commitment Shares shall constitute Registrable Securities and shall be included in the Registration Statement and any post-effective amendment thereto, in each case in accordance with this Agreement and the Registration Rights Agreement.</w:t>
      </w:r>
    </w:p>
    <w:p>
      <w:pPr>
        <w:spacing w:after="0" w:line="182"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b w:val="1"/>
          <w:bCs w:val="1"/>
          <w:u w:val="single" w:color="auto"/>
          <w:color w:val="auto"/>
        </w:rPr>
        <w:t>Irrevocable Transfer Agent Instructions; Notice of Effectiveness</w:t>
      </w:r>
      <w:r>
        <w:rPr>
          <w:rFonts w:ascii="Times New Roman" w:cs="Times New Roman" w:eastAsia="Times New Roman" w:hAnsi="Times New Roman"/>
          <w:sz w:val="18"/>
          <w:szCs w:val="18"/>
          <w:color w:val="auto"/>
        </w:rPr>
        <w:t>. On the Commencement Date, the Company shall cause the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to credit the Investor’s or its designee’s account at DTC as DWAC Shares such number of shares of Common Stock equal to the number of Commitment Shares issued to the Investor pursuant to Section 9.1(ii). The Company shall take all actions to carry out the intent and accomplish the purposes of the immediately preceding sentence, including, without limitation, delivering all such legal opinions, consents, certificates, resolutions and instructions to the Transfer Agent, and any successor transfer agent of the Company, as may be requested from time to time by the Investor or necessary or desirable to carry out the intent and accomplish the purposes of the immediately preceding sentence. Upon the effectiveness of the Registration Statement, the Company shall deliver or cause to be delivered to the Transfer Agent (and thereafter, shall deliver or cause to be delivered to any subsequent transfer agent of the Company), (i) irrevocable instructions executed by the Company and acknowledged in writing by the Transfer Agent (the “</w:t>
      </w:r>
      <w:r>
        <w:rPr>
          <w:rFonts w:ascii="Times New Roman" w:cs="Times New Roman" w:eastAsia="Times New Roman" w:hAnsi="Times New Roman"/>
          <w:sz w:val="18"/>
          <w:szCs w:val="18"/>
          <w:b w:val="1"/>
          <w:bCs w:val="1"/>
          <w:i w:val="1"/>
          <w:iCs w:val="1"/>
          <w:color w:val="auto"/>
        </w:rPr>
        <w:t>Commencement Irrevocable Transfer Agent Instructions</w:t>
      </w:r>
      <w:r>
        <w:rPr>
          <w:rFonts w:ascii="Times New Roman" w:cs="Times New Roman" w:eastAsia="Times New Roman" w:hAnsi="Times New Roman"/>
          <w:sz w:val="18"/>
          <w:szCs w:val="18"/>
          <w:color w:val="auto"/>
        </w:rPr>
        <w:t>”) and (ii) the notice of effectiveness in the form attached as an exhibit to the Registration Rights Agreement (the “</w:t>
      </w:r>
      <w:r>
        <w:rPr>
          <w:rFonts w:ascii="Times New Roman" w:cs="Times New Roman" w:eastAsia="Times New Roman" w:hAnsi="Times New Roman"/>
          <w:sz w:val="18"/>
          <w:szCs w:val="18"/>
          <w:b w:val="1"/>
          <w:bCs w:val="1"/>
          <w:i w:val="1"/>
          <w:iCs w:val="1"/>
          <w:color w:val="auto"/>
        </w:rPr>
        <w:t>Notice of Effectiveness</w:t>
      </w:r>
      <w:r>
        <w:rPr>
          <w:rFonts w:ascii="Times New Roman" w:cs="Times New Roman" w:eastAsia="Times New Roman" w:hAnsi="Times New Roman"/>
          <w:sz w:val="18"/>
          <w:szCs w:val="18"/>
          <w:color w:val="auto"/>
        </w:rPr>
        <w:t>”), in each case directing the Transfer Agent to issue to the Investor or its designee all of the Commitment Shares as DWAC Shares in accordance with this Agreement and the Registration Rights Agreement. With respect to any post-effective amendment to the Registration Statement or any post-effective amendment to any New Registration Statement, in each case declared effective by the Commission after the Commencement Date, the Company shall deliver or cause to be delivered to the Transfer Agent (and thereafter, shall deliver or cause to be delivered to any subsequent transfer agent of the Company) (i) irrevocable instructions in the form substantially similar to the Commencement Irrevocable Transfer Agent Instructions executed by the Company and acknowledged in writing by the Transfer Agent and (ii) the Notice of Effectiveness, in each case modified as necessary to refer to such Registration Statement or post-effective amendment and the Registrable Securities included therein. For the avoidance of doubt, all Shares and Commitment Shares to be issued from and after Commencement to or for the benefit of the Investor pursuant to this Agreement shall be issued to the Investor or its designee only as DWAC Shares. The Company represents and warrants to the Investor that, while this Agreement is effective, no instruction other than those referred to</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66" w:right="459" w:bottom="1440" w:gutter="0" w:footer="0" w:header="0"/>
        </w:sectPr>
      </w:pPr>
    </w:p>
    <w:bookmarkStart w:id="100" w:name="page101"/>
    <w:bookmarkEnd w:id="100"/>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this Section 9.1(iii) will be given by the Company to the Transfer Agent, or any successor transfer agent of the Company, with respect to the Shares and the Commitment Shares from and after Commencement, and the Shares and the Commitment Shares (as applicable) covered by any New Registration Statement or post-effective amendment thereof, as applicable, shall otherwise be freely transferable on the books and records of the Company and no stop transfer instructions shall be maintained against the transfer thereof. The Company agrees that if the Company fails to fully comply with the provisions of this Section 9.1(iii) within three (3) Trading Days after the date on which the Investor has provided the deliverables referred to above that the Investor is required to provide to the Company or the Transfer Agent, the Company shall, at the Investor’s written instruction, purchase from the Investor all shares of Common Stock purchased or acquired by the Investor pursuant to this Agreement that contain restrictive legends at the greater of (i) the purchase price paid for such shares of Common Stock (as applicable) and (ii) the Closing Sale Price of the Common Stock on the date of the Investor’s written instruction.</w:t>
      </w:r>
    </w:p>
    <w:p>
      <w:pPr>
        <w:spacing w:after="0" w:line="18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9.2. </w:t>
      </w:r>
      <w:r>
        <w:rPr>
          <w:rFonts w:ascii="Times New Roman" w:cs="Times New Roman" w:eastAsia="Times New Roman" w:hAnsi="Times New Roman"/>
          <w:sz w:val="18"/>
          <w:szCs w:val="18"/>
          <w:b w:val="1"/>
          <w:bCs w:val="1"/>
          <w:u w:val="single" w:color="auto"/>
          <w:color w:val="auto"/>
        </w:rPr>
        <w:t>Specific Enforcement, Consent to Jurisdiction, Waiver of Jury Trial.</w:t>
      </w:r>
    </w:p>
    <w:p>
      <w:pPr>
        <w:spacing w:after="0" w:line="229" w:lineRule="exact"/>
        <w:rPr>
          <w:sz w:val="20"/>
          <w:szCs w:val="20"/>
          <w:color w:val="auto"/>
        </w:rPr>
      </w:pPr>
    </w:p>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The Company and the Investor acknowledge and agree that irreparable damage would occur in the event that any of the provisions of this Agreement were not performed in accordance with their specific terms or were otherwise breached. It is accordingly agreed that the Company, on the one hand, and the Investor, on the other hand, shall be entitled to an injunction or injunctions to prevent or cure breaches of the provisions of this Agreement by the other party and to enforce specifically the terms and provisions hereof (without the necessity of showing economic loss and without any bond or other security being required), this being in addition to any other remedy to which either party may be entitled by law or equity.</w:t>
      </w:r>
    </w:p>
    <w:p>
      <w:pPr>
        <w:spacing w:after="0" w:line="183"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Each of the Company and the Investor (a) hereby irrevocably submits to the jurisdiction of the U.S. District Court and other courts of the United States sitting in the State of New York for the purposes of any suit, action or proceeding arising out of or relating to this Agreement, and</w:t>
      </w:r>
    </w:p>
    <w:p>
      <w:pPr>
        <w:ind w:left="4" w:hanging="4"/>
        <w:spacing w:after="0" w:line="253" w:lineRule="auto"/>
        <w:tabs>
          <w:tab w:leader="none" w:pos="25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hereby waives, and agrees not to assert in any such suit, action or proceeding, any claim that it is not personally subject to the jurisdiction of such court, that the suit, action or proceeding is brought in an inconvenient forum or that the venue of the suit, action or proceeding is improper. Each of the Company and the Investor consents to process being served in any such suit, action or proceeding by mailing a copy thereof to such party at the address in effect for notices to it under this Agreement and agrees that such service shall constitute good and sufficient service of process and notice thereof. Nothing in this Section 9.2 shall affect or limit any right to serve process in any other manner permitted by law.</w:t>
      </w:r>
    </w:p>
    <w:p>
      <w:pPr>
        <w:spacing w:after="0" w:line="186"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1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INVESTOR HEREBY WAIVES TO THE FULLEST EXTENT PERMITTED BY APPLICABLE LAW, ANY RIGHT IT MAY HAVE TO A TRIAL BY JURY IN RESPECT TO ANY LITIGATION DIRECTLY OR INDIRECTLY ARISING OUT OF, UNDER OR IN CONNECTION WITH THIS AGREEMENT OR THE TRANSACTIONS CONTEMPLATED HEREBY OR DISPUTES RELATING HERETO. EACH OF THE COMPANY AND THE INVESTOR (A) CERTIFIES THAT NO REPRESENTATIVE, AGENT OR ATTORNEY OF ANY OTHER PARTY HAS REPRESENTED, EXPRESSLY OR OTHERWISE, THAT SUCH OTHER PARTY WOULD NOT, IN THE EVENT OF LITIGATION, SEEK TO ENFORCE THE FOREGOING WAIVER AND (B) ACKNOWLEDGES THAT IT AND THE OTHER PARTIES HERETO HAVE BEEN TO ENTER INTO THIS AGREEMENT BY, AMONG OTHER THINGS, THE MUTUAL WAIVERS AND CERTIFICATIONS IN THIS SECTION 9.2.</w:t>
      </w:r>
    </w:p>
    <w:p>
      <w:pPr>
        <w:spacing w:after="0" w:line="12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24"/>
          </w:cols>
          <w:pgMar w:left="436" w:top="270" w:right="539" w:bottom="1440" w:gutter="0" w:footer="0" w:header="0"/>
        </w:sectPr>
      </w:pPr>
    </w:p>
    <w:bookmarkStart w:id="101" w:name="page102"/>
    <w:bookmarkEnd w:id="101"/>
    <w:p>
      <w:pPr>
        <w:ind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9.3.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The Transaction Documents set forth the entire agreement and understanding of the parties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matter hereof and supersedes all prior and contemporaneous agreements, negotiations and understandings between the parties, both oral and written, with respect to such matters. There are no promises, undertakings, representations or warranties by either party relative to subject matter hereof not expressly set forth in the Transaction Documents. The Disclosure Schedule and all exhibits to this Agreement are hereby incorporated by reference in, and made a part of, this Agreement as if set forth in full herein.</w:t>
      </w:r>
    </w:p>
    <w:p>
      <w:pPr>
        <w:spacing w:after="0" w:line="179"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9.4.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 demand, request, waiver or other communication required or permitted to be given hereunder shall be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be effective (a) upon hand delivery or electronic mail delivery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 for such communications shall be:</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Jaguar Health,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200 Pine Street, Suite 400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San Francisco, California 94104</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207" w:lineRule="exact"/>
        <w:rPr>
          <w:sz w:val="20"/>
          <w:szCs w:val="20"/>
          <w:color w:val="auto"/>
        </w:rPr>
      </w:pPr>
    </w:p>
    <w:p>
      <w:pPr>
        <w:jc w:val="center"/>
        <w:ind w:right="65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Donald C. Reinke, Esq.</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Reed Smith LLP</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1841 Page Mill Road, Suite 110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DReinke@ReedSmith.com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Investor:</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C/M Capital Partners, 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1111 Brickell Avenue, Suite 2920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Miami, Florida 33131</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Number: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66" w:right="459" w:bottom="1440" w:gutter="0" w:footer="0" w:header="0"/>
        </w:sectPr>
      </w:pPr>
    </w:p>
    <w:bookmarkStart w:id="102" w:name="page103"/>
    <w:bookmarkEnd w:id="10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(which shall not constitute notice) to:</w:t>
      </w:r>
    </w:p>
    <w:p>
      <w:pPr>
        <w:spacing w:after="0" w:line="22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Pryor Cashman LLP</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7 Times Square</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Attention: M. Ali Panjwani, Esq.</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Either party hereto may from time to time change its address for notices by giving at least five (5) days’ advance written notice of such changed address to the other party hereto.</w:t>
      </w:r>
    </w:p>
    <w:p>
      <w:pPr>
        <w:spacing w:after="0" w:line="158"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9.5. </w:t>
      </w:r>
      <w:r>
        <w:rPr>
          <w:rFonts w:ascii="Times New Roman" w:cs="Times New Roman" w:eastAsia="Times New Roman" w:hAnsi="Times New Roman"/>
          <w:sz w:val="18"/>
          <w:szCs w:val="18"/>
          <w:b w:val="1"/>
          <w:bCs w:val="1"/>
          <w:u w:val="single" w:color="auto"/>
          <w:color w:val="auto"/>
        </w:rPr>
        <w:t>Waivers</w:t>
      </w:r>
      <w:r>
        <w:rPr>
          <w:rFonts w:ascii="Times New Roman" w:cs="Times New Roman" w:eastAsia="Times New Roman" w:hAnsi="Times New Roman"/>
          <w:sz w:val="18"/>
          <w:szCs w:val="18"/>
          <w:color w:val="auto"/>
        </w:rPr>
        <w:t>. No provision of this Agreement may be waived by the parties from and after the date that is one (1) Trading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preceding the filing of the Registration Statement with the Commission. Subject to the immediately preceding sentence, no provision of this Agreement may be waived other than in a written instrument signed by the party against whom enforcement of such waiver is sought. No failure or delay in the exercise of any power, right or privilege hereunder shall operate as a waiver thereof, nor shall any single or partial exercise of any such power, right or privilege preclude other or further exercises thereof or of any other right, power or privilege.</w:t>
      </w:r>
    </w:p>
    <w:p>
      <w:pPr>
        <w:spacing w:after="0" w:line="179" w:lineRule="exact"/>
        <w:rPr>
          <w:sz w:val="20"/>
          <w:szCs w:val="20"/>
          <w:color w:val="auto"/>
        </w:rPr>
      </w:pPr>
    </w:p>
    <w:p>
      <w:pPr>
        <w:jc w:val="both"/>
        <w:ind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9.6. </w:t>
      </w: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 No provision of this Agreement may be amended by the parties from and after the date that is one (1) Trading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preceding the filing of the Registration Statement with the Commission. Subject to the immediately preceding sentence, no provision of this Agreement may be amended other than by a written instrument signed by both parties hereto.</w:t>
      </w:r>
    </w:p>
    <w:p>
      <w:pPr>
        <w:spacing w:after="0" w:line="171"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9.7.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article, section and subsection headings in this Agreement are for convenience only and shall not constitute a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for any other purpose and shall not be deemed to limit or affect any of the provisions hereof.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7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9.8. </w:t>
      </w: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 The parties agree that each of them and their respective counsel has reviewed and had an opportunity to revise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Documents and, therefore, the normal rule of construction to the effect that any ambiguities are to be resolved against the drafting party shall not be employed in the interpretation of the Transaction Documents. In addition, each and every reference to share prices and number of shares of Common Stock in any Transaction Document shall, in all cases, be subject to adjustment for any stock splits, stock combinations, stock dividends, recapitalizations, reorganizations and other similar transactions that occur on or after the date of this Agreement. Any reference in this Agreement to “Dollars” or “$” shall mean the lawful currency of the United States of America. Any references to “Section” or “Article” in this Agreement shall, unless otherwise expressly stated herein, refer to the applicable Section or Article of this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9.9.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the parties hereto and their respective successors.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the Company nor the Investor may assign this Agreement or any of their respective rights or obligations hereunder to any Person.</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40"/>
          </w:cols>
          <w:pgMar w:left="440" w:top="270" w:right="519" w:bottom="1440" w:gutter="0" w:footer="0" w:header="0"/>
        </w:sectPr>
      </w:pPr>
    </w:p>
    <w:bookmarkStart w:id="103" w:name="page104"/>
    <w:bookmarkEnd w:id="103"/>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9.10. </w:t>
      </w:r>
      <w:r>
        <w:rPr>
          <w:rFonts w:ascii="Times New Roman" w:cs="Times New Roman" w:eastAsia="Times New Roman" w:hAnsi="Times New Roman"/>
          <w:sz w:val="18"/>
          <w:szCs w:val="18"/>
          <w:b w:val="1"/>
          <w:bCs w:val="1"/>
          <w:u w:val="single" w:color="auto"/>
          <w:color w:val="auto"/>
        </w:rPr>
        <w:t>No Third Party Beneficiaries</w:t>
      </w:r>
      <w:r>
        <w:rPr>
          <w:rFonts w:ascii="Times New Roman" w:cs="Times New Roman" w:eastAsia="Times New Roman" w:hAnsi="Times New Roman"/>
          <w:sz w:val="18"/>
          <w:szCs w:val="18"/>
          <w:color w:val="auto"/>
        </w:rPr>
        <w:t>. Except as expressly provided in Article VIII, this Agreement is intended only for the benefit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and their respective successors, and is not for the benefit of, nor may any provision hereof be enforced by, any other Person.</w:t>
      </w:r>
    </w:p>
    <w:p>
      <w:pPr>
        <w:spacing w:after="0" w:line="155" w:lineRule="exact"/>
        <w:rPr>
          <w:sz w:val="20"/>
          <w:szCs w:val="20"/>
          <w:color w:val="auto"/>
        </w:rPr>
      </w:pPr>
    </w:p>
    <w:p>
      <w:pPr>
        <w:jc w:val="both"/>
        <w:ind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9.11.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internal procedural and substantive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State of New York, without giving effect to the choice of law provisions of such state that would cause the application of the laws of any other jurisdiction.</w:t>
      </w:r>
    </w:p>
    <w:p>
      <w:pPr>
        <w:spacing w:after="0" w:line="171"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9.12. </w:t>
      </w:r>
      <w:r>
        <w:rPr>
          <w:rFonts w:ascii="Times New Roman" w:cs="Times New Roman" w:eastAsia="Times New Roman" w:hAnsi="Times New Roman"/>
          <w:sz w:val="18"/>
          <w:szCs w:val="18"/>
          <w:b w:val="1"/>
          <w:bCs w:val="1"/>
          <w:u w:val="single" w:color="auto"/>
          <w:color w:val="auto"/>
        </w:rPr>
        <w:t>Survival</w:t>
      </w:r>
      <w:r>
        <w:rPr>
          <w:rFonts w:ascii="Times New Roman" w:cs="Times New Roman" w:eastAsia="Times New Roman" w:hAnsi="Times New Roman"/>
          <w:sz w:val="18"/>
          <w:szCs w:val="18"/>
          <w:color w:val="auto"/>
        </w:rPr>
        <w:t>. The representations, warranties, covenants and agreements of the Company and the Investor contained in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survive the execution and delivery hereof until the termination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the provisions of Article IV (Representations and Warranties of the Company), Article VII (Termination), Article VIII (Indemnification) and this Article IX (Miscellaneous) shall remain in full force and effect indefinitely notwithstanding such termination, and, (ii) so long as the Investor owns any Securities, the covenants and agreements of the Company and the Investor contained in Article V (Covenants), shall remain in full force and effect notwithstanding such termination for a period of six (6) months following such termination.</w:t>
      </w:r>
    </w:p>
    <w:p>
      <w:pPr>
        <w:spacing w:after="0" w:line="182"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9.13.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same agreement and shall become effective when counterparts have been signed by each party and delivered to the other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facsimile signature or signature delivered by e-mail in a “.pdf” format data file, including any electronic signature complying with the U.S. federal ESIGN Act of 2000, e.g., www.docusign.com, www.echosign.adobe.com, etc., shall be considered due execution and shall be binding upon the signatory thereto with the same force and effect as if the signature were an original signature.</w:t>
      </w:r>
    </w:p>
    <w:p>
      <w:pPr>
        <w:spacing w:after="0" w:line="179"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9.14. </w:t>
      </w:r>
      <w:r>
        <w:rPr>
          <w:rFonts w:ascii="Times New Roman" w:cs="Times New Roman" w:eastAsia="Times New Roman" w:hAnsi="Times New Roman"/>
          <w:sz w:val="18"/>
          <w:szCs w:val="18"/>
          <w:b w:val="1"/>
          <w:bCs w:val="1"/>
          <w:u w:val="single" w:color="auto"/>
          <w:color w:val="auto"/>
        </w:rPr>
        <w:t>Publicity</w:t>
      </w:r>
      <w:r>
        <w:rPr>
          <w:rFonts w:ascii="Times New Roman" w:cs="Times New Roman" w:eastAsia="Times New Roman" w:hAnsi="Times New Roman"/>
          <w:sz w:val="18"/>
          <w:szCs w:val="18"/>
          <w:color w:val="auto"/>
        </w:rPr>
        <w:t>. The Company shall afford the Investor and its counsel with a reasonable opportunity to review and comment upon,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 with the Investor and its counsel on the form and substance of, and shall give due consideration to all such comments from the Investor or its counsel on, any press release, Commission filing or any other public disclosure made by or on behalf of the Company relating to the Investor, its purchases hereunder or any aspect of the Transaction Documents or the transactions contemplated thereby, prior to the issuance, filing or public disclosure thereof. For the avoidance of doubt, the Company shall not be required to submit for review any such disclosure (i) contained in periodic reports filed with the Commission under the Exchange Act if it shall have previously provided the same disclosure to the Investor or its counsel for review in connection with a previous filing or (ii) any Prospectus Supplement if it contains disclosure that does not reference the Investor, its purchases hereunder or any aspect of the Transaction Documents or the transactions contemplated thereby.</w:t>
      </w:r>
    </w:p>
    <w:p>
      <w:pPr>
        <w:spacing w:after="0" w:line="18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9.15.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The provisions of this Agreement are severable and, in the event that any court of competent jurisdiction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that any one or more of the provisions or part of the provisions contained in this Agreement shall, for any reason, be held to be invalid, illegal or unenforceable in any respect, such invalidity, illegality or unenforceability shall not affect any other provision or part of a provision of this Agreement, and this Agreement shall be reformed and construed as if such invalid or illegal or unenforceable provision, or part of such provision, had never been contained herein, so that such provisions would be valid, legal and enforceable to the maximum extent possible.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60"/>
          </w:cols>
          <w:pgMar w:left="440" w:top="266" w:right="499" w:bottom="1440" w:gutter="0" w:footer="0" w:header="0"/>
        </w:sectPr>
      </w:pPr>
    </w:p>
    <w:bookmarkStart w:id="104" w:name="page105"/>
    <w:bookmarkEnd w:id="104"/>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9.16.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From and after the Closing Date, upon the request of the Investor or the Company, each of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Investor shall execute and deliver such instrument, documents and other writings as may be reasonably necessary or desirable to confirm and carry out and to effectuate fully the intent and purposes of this Agreement.</w:t>
      </w:r>
    </w:p>
    <w:p>
      <w:pPr>
        <w:spacing w:after="0" w:line="1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880"/>
          </w:cols>
          <w:pgMar w:left="440" w:top="266" w:right="579" w:bottom="1440" w:gutter="0" w:footer="0" w:header="0"/>
        </w:sectPr>
      </w:pPr>
    </w:p>
    <w:bookmarkStart w:id="105" w:name="page106"/>
    <w:bookmarkEnd w:id="105"/>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Agreement to be duly executed by their respective authorized officer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above written.</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JAGUAR HEALTH,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Lisa A. Conte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Lisa A. Conte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 and President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THE INVESTOR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C/M Capital Master Fund,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Thomas 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Thomas Walsh</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680"/>
          </w:cols>
          <w:pgMar w:left="440" w:top="266" w:right="779" w:bottom="1440" w:gutter="0" w:footer="0" w:header="0"/>
        </w:sectPr>
      </w:pPr>
    </w:p>
    <w:bookmarkStart w:id="106" w:name="page107"/>
    <w:bookmarkEnd w:id="10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 TO THE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PURCHASE AGREEMENT</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VWAP Purchase</w:t>
      </w:r>
      <w:r>
        <w:rPr>
          <w:rFonts w:ascii="Times New Roman" w:cs="Times New Roman" w:eastAsia="Times New Roman" w:hAnsi="Times New Roman"/>
          <w:sz w:val="18"/>
          <w:szCs w:val="18"/>
          <w:color w:val="auto"/>
        </w:rPr>
        <w:t>” shall have the meaning assigned to such term in Section 2.3.</w:t>
      </w:r>
    </w:p>
    <w:p>
      <w:pPr>
        <w:spacing w:after="0" w:line="22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VWAP Purchase Commencement Time</w:t>
      </w:r>
      <w:r>
        <w:rPr>
          <w:rFonts w:ascii="Times New Roman" w:cs="Times New Roman" w:eastAsia="Times New Roman" w:hAnsi="Times New Roman"/>
          <w:sz w:val="18"/>
          <w:szCs w:val="18"/>
          <w:color w:val="auto"/>
        </w:rPr>
        <w:t>” means, the latest of (A) the applicable VWAP Purchase Termination Time with respect to the corresponding VWAP Purchase on such Additional VWAP Purchase Date, (B) the applicable Additional VWAP Purchase Termination Time with respect to the most recently completed prior Additional VWAP Purchase on such Additional VWAP Purchase Date, as applicable, and (C) the time at which all shares of Common Stock subject to all prior VWAP Purchases and Additional VWAP Purchases (as applicable), including, without limitation, those that have been effected on the same business day as the applicable Additional VWAP Purchase.</w:t>
      </w:r>
    </w:p>
    <w:p>
      <w:pPr>
        <w:spacing w:after="0" w:line="179"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VWAP Purchase Confirmation</w:t>
      </w:r>
      <w:r>
        <w:rPr>
          <w:rFonts w:ascii="Times New Roman" w:cs="Times New Roman" w:eastAsia="Times New Roman" w:hAnsi="Times New Roman"/>
          <w:sz w:val="18"/>
          <w:szCs w:val="18"/>
          <w:color w:val="auto"/>
        </w:rPr>
        <w:t>” shall have the meaning assigned to such term in Section 2.3 and shall be in the form attached hereto as Annex 2.3C.</w:t>
      </w:r>
    </w:p>
    <w:p>
      <w:pPr>
        <w:spacing w:after="0" w:line="15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VWAP Purchase Date</w:t>
      </w:r>
      <w:r>
        <w:rPr>
          <w:rFonts w:ascii="Times New Roman" w:cs="Times New Roman" w:eastAsia="Times New Roman" w:hAnsi="Times New Roman"/>
          <w:sz w:val="18"/>
          <w:szCs w:val="18"/>
          <w:color w:val="auto"/>
        </w:rPr>
        <w:t>” means, with respect to an Additional VWAP Purchase made pursuant to Section 2.3, the Trading Day (i) that is also the VWAP Purchase Date for the corresponding VWAP Purchase referred to in clause (i) of the second sentence of Section 2.3 and (ii) on which the Investor receives, prior to 2:00 p.m., New York City time, on such Trading Day, a valid Additional VWAP Purchase Notice for such Additional VWAP Purchase in accordance with this Agreement.</w:t>
      </w:r>
    </w:p>
    <w:p>
      <w:pPr>
        <w:spacing w:after="0" w:line="176"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VWAP Purchase Maximum Amount</w:t>
      </w:r>
      <w:r>
        <w:rPr>
          <w:rFonts w:ascii="Times New Roman" w:cs="Times New Roman" w:eastAsia="Times New Roman" w:hAnsi="Times New Roman"/>
          <w:sz w:val="18"/>
          <w:szCs w:val="18"/>
          <w:color w:val="auto"/>
        </w:rPr>
        <w:t>” means, with respect to an Additional VWAP Purchase made pursuant to Section 2.3, a number of shares of Common Stock equal to the lesser of (i) $4,500,000 and (ii) 10% of the trading volume in the Company’s Common Stock on the Eligible Market during the applicable Additional VWAP Purchase Period on the applicable Additional VWAP Purchase Date.</w:t>
      </w:r>
    </w:p>
    <w:p>
      <w:pPr>
        <w:spacing w:after="0" w:line="171"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VWAP Purchase Notice</w:t>
      </w:r>
      <w:r>
        <w:rPr>
          <w:rFonts w:ascii="Times New Roman" w:cs="Times New Roman" w:eastAsia="Times New Roman" w:hAnsi="Times New Roman"/>
          <w:sz w:val="18"/>
          <w:szCs w:val="18"/>
          <w:color w:val="auto"/>
        </w:rPr>
        <w:t>” means, with respect to an Additional VWAP Purchase made pursuant to Section 2.3, an irrevocable written notice delivered by the Company to the Investor, prior to 2:00 p.m., New York City time, on the applicable Additional VWAP Purchase Date for such Additional VWAP Purchase, directing the Investor to purchase an Additional VWAP Purchase Share Amount (such specified Additional VWAP Purchase Share Amount subject to adjustment as set forth in Section 2.3 as necessary to give effect to the Additional VWAP Purchase Maximum Amount), at the applicable Additional VWAP Purchase Price therefor on the applicable Additional VWAP Purchase Date for such Additional VWAP Purchase in accordance with this Agreement.</w:t>
      </w:r>
    </w:p>
    <w:p>
      <w:pPr>
        <w:spacing w:after="0" w:line="182" w:lineRule="exact"/>
        <w:rPr>
          <w:sz w:val="20"/>
          <w:szCs w:val="20"/>
          <w:color w:val="auto"/>
        </w:rPr>
      </w:pPr>
    </w:p>
    <w:p>
      <w:pPr>
        <w:ind w:right="3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VWAP Purchase Period</w:t>
      </w:r>
      <w:r>
        <w:rPr>
          <w:rFonts w:ascii="Times New Roman" w:cs="Times New Roman" w:eastAsia="Times New Roman" w:hAnsi="Times New Roman"/>
          <w:sz w:val="18"/>
          <w:szCs w:val="18"/>
          <w:color w:val="auto"/>
        </w:rPr>
        <w:t>” means, with respect to an Additional VWAP Purchase made pursuant to Section 2.3, the period on the applicable Additional VWAP Purchase Date for such Additional VWAP Purchase beginning at the applicable Additional VWAP Purchase Commencement Time and ending at the applicable Additional VWAP Purchase Termination Time.</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I-1</w:t>
      </w:r>
    </w:p>
    <w:p>
      <w:pPr>
        <w:sectPr>
          <w:pgSz w:w="11900" w:h="16838" w:orient="portrait"/>
          <w:cols w:equalWidth="0" w:num="1">
            <w:col w:w="10960"/>
          </w:cols>
          <w:pgMar w:left="440" w:top="266" w:right="499" w:bottom="1440" w:gutter="0" w:footer="0" w:header="0"/>
        </w:sectPr>
      </w:pPr>
    </w:p>
    <w:bookmarkStart w:id="107" w:name="page108"/>
    <w:bookmarkEnd w:id="107"/>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Additional VWAP Purchase Price</w:t>
      </w:r>
      <w:r>
        <w:rPr>
          <w:rFonts w:ascii="Times New Roman" w:cs="Times New Roman" w:eastAsia="Times New Roman" w:hAnsi="Times New Roman"/>
          <w:sz w:val="18"/>
          <w:szCs w:val="18"/>
          <w:color w:val="auto"/>
        </w:rPr>
        <w:t>” means, with respect to an Additional VWAP Purchase made pursuant to Section 2.3, the purchase price per Share to be purchased by the Investor in such Additional VWAP Purchase equal to ninety five percent (95%) of the lower of (i) the VWAP for the applicable Additional VWAP Purchase Period during the applicable Additional VWAP Purchase Date for such Additional VWAP Purchase, (ii) the lowest traded price of the Common Stock during the five Trading Days immediately preceding the Additional VWAP Purchase Date, and (iii) the Closing Sale Price of the Common Stock on such applicable Additional VWAP Purchase Date for such Additional VWAP Purchase (to be appropriately adjusted for any reorganization, recapitalization, non-cash dividend, stock split, reverse stock split or other similar transaction).</w:t>
      </w:r>
    </w:p>
    <w:p>
      <w:pPr>
        <w:spacing w:after="0" w:line="182"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VWAP Purchase Share Amount</w:t>
      </w:r>
      <w:r>
        <w:rPr>
          <w:rFonts w:ascii="Times New Roman" w:cs="Times New Roman" w:eastAsia="Times New Roman" w:hAnsi="Times New Roman"/>
          <w:sz w:val="18"/>
          <w:szCs w:val="18"/>
          <w:color w:val="auto"/>
        </w:rPr>
        <w:t>” means, with respect to an Additional VWAP Purchase made pursuant to Section 2.3, the number of Shares to be purchased by the Investor in such Additional VWAP Purchase as specified by the Company in the applicable Additional VWAP Purchase Notice, which number of Shares shall not exceed the applicable Additional VWAP Purchase Maximum Amount.</w:t>
      </w:r>
    </w:p>
    <w:p>
      <w:pPr>
        <w:spacing w:after="0" w:line="171"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VWAP Purchase Share Volume Maximum</w:t>
      </w:r>
      <w:r>
        <w:rPr>
          <w:rFonts w:ascii="Times New Roman" w:cs="Times New Roman" w:eastAsia="Times New Roman" w:hAnsi="Times New Roman"/>
          <w:sz w:val="18"/>
          <w:szCs w:val="18"/>
          <w:color w:val="auto"/>
        </w:rPr>
        <w:t>” means, with respect to an Additional VWAP Purchase made pursuant to Section 2.3, a number of shares of Common Stock equal to (i) the number of Shares specified by the Company in the applicable Additional VWAP Purchase Notice as the Additional VWAP Purchase Share Amount to be purchased by the Investor in such Additional VWAP Purchase, divided by (ii) (to be appropriately adjusted for any reorganization, recapitalization, non-cash dividend, stock split, reverse stock split or other similar transaction).</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VWAP Purchase Termination Time</w:t>
      </w:r>
      <w:r>
        <w:rPr>
          <w:rFonts w:ascii="Times New Roman" w:cs="Times New Roman" w:eastAsia="Times New Roman" w:hAnsi="Times New Roman"/>
          <w:sz w:val="18"/>
          <w:szCs w:val="18"/>
          <w:color w:val="auto"/>
        </w:rPr>
        <w:t>” means, with respect to an Additional VWAP Purchase made pursuant to Section 2.3, the earliest of (i) 2:00 p.m., New York City time, on the applicable Additional VWAP Purchase Date, or such other time publicly announced by the Trading Market as the official close of trading on the Trading Market (or, if the Common Stock is then listed on an Eligible Market, by such Eligible Market as the official close of trading on such Eligible Market) on such applicable Additional VWAP Purchase Date, (ii) such time, from and after the Additional VWAP Purchase Commencement Time for such Additional VWAP Purchase, that the trading volume of shares of Common Stock traded on the Trading Market (or, if the Common Stock is then listed on an Eligible Market, on such Eligible Market) has exceeded the applicable Additional VWAP Purchase Share Volume Maximum and (iii) such time, from and after the Additional VWAP Purchase Commencement Time for such Additional VWAP Purchase, that any sale price of the Common Stock traded on the Trading Market (or, if the Common Stock is then listed on an Eligible Market, on such Eligible Market) has fallen below the applicable Floor Price for such applicable Additional VWAP Purchase.</w:t>
      </w:r>
    </w:p>
    <w:p>
      <w:pPr>
        <w:spacing w:after="0" w:line="188"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is controlled by, or is under common control with a Person, as such terms are used in and construed under Rule 144. With respect to the Investor, without limitation, any Person owning, owned by, or under common ownership with the Investor, and any investment fund or managed account that is managed on a discretionary basis by the same investment manager as the Investor will be deemed to be an Affiliate.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I-2</w:t>
      </w:r>
    </w:p>
    <w:p>
      <w:pPr>
        <w:sectPr>
          <w:pgSz w:w="11900" w:h="16838" w:orient="portrait"/>
          <w:cols w:equalWidth="0" w:num="1">
            <w:col w:w="10980"/>
          </w:cols>
          <w:pgMar w:left="440" w:top="266" w:right="479" w:bottom="1440" w:gutter="0" w:footer="0" w:header="0"/>
        </w:sectPr>
      </w:pPr>
    </w:p>
    <w:bookmarkStart w:id="108" w:name="page109"/>
    <w:bookmarkEnd w:id="10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Aggregate Limit</w:t>
      </w:r>
      <w:r>
        <w:rPr>
          <w:rFonts w:ascii="Times New Roman" w:cs="Times New Roman" w:eastAsia="Times New Roman" w:hAnsi="Times New Roman"/>
          <w:sz w:val="18"/>
          <w:szCs w:val="18"/>
          <w:color w:val="auto"/>
        </w:rPr>
        <w:t>” shall have the meaning assigned to such term in Section 1.1.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shall have the meaning assigned to such term in the preamble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shall have the meaning assigned to such term in Section 4.13.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Law</w:t>
      </w:r>
      <w:r>
        <w:rPr>
          <w:rFonts w:ascii="Times New Roman" w:cs="Times New Roman" w:eastAsia="Times New Roman" w:hAnsi="Times New Roman"/>
          <w:sz w:val="18"/>
          <w:szCs w:val="18"/>
          <w:color w:val="auto"/>
        </w:rPr>
        <w:t>” means Title 11, U.S. Code, or any similar U.S. federal or state law for the relief of debtors.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 Ownership Limitation</w:t>
      </w:r>
      <w:r>
        <w:rPr>
          <w:rFonts w:ascii="Times New Roman" w:cs="Times New Roman" w:eastAsia="Times New Roman" w:hAnsi="Times New Roman"/>
          <w:sz w:val="18"/>
          <w:szCs w:val="18"/>
          <w:color w:val="auto"/>
        </w:rPr>
        <w:t>” shall have the meaning assigned to such term in Section 2.5.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Bloomberg</w:t>
      </w:r>
      <w:r>
        <w:rPr>
          <w:rFonts w:ascii="Times New Roman" w:cs="Times New Roman" w:eastAsia="Times New Roman" w:hAnsi="Times New Roman"/>
          <w:sz w:val="18"/>
          <w:szCs w:val="18"/>
          <w:color w:val="auto"/>
        </w:rPr>
        <w:t>” means Bloomberg, L.P.</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Bring Down Opinion</w:t>
      </w:r>
      <w:r>
        <w:rPr>
          <w:rFonts w:ascii="Times New Roman" w:cs="Times New Roman" w:eastAsia="Times New Roman" w:hAnsi="Times New Roman"/>
          <w:sz w:val="18"/>
          <w:szCs w:val="18"/>
          <w:color w:val="auto"/>
        </w:rPr>
        <w:t>” shall have the meaning assigned to such term in Section 5.15.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Broker-Dealer</w:t>
      </w:r>
      <w:r>
        <w:rPr>
          <w:rFonts w:ascii="Times New Roman" w:cs="Times New Roman" w:eastAsia="Times New Roman" w:hAnsi="Times New Roman"/>
          <w:sz w:val="18"/>
          <w:szCs w:val="18"/>
          <w:color w:val="auto"/>
        </w:rPr>
        <w:t>” shall have the meaning assigned to such term in Section 5.13.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shall have the meaning assigned to such term in Section 4.4.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shall have the meaning assigned to such term in Section 3.3.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shall have the meaning assigned to such term in Section 1.2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means the date of this Agreement.</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Sale Price</w:t>
      </w:r>
      <w:r>
        <w:rPr>
          <w:rFonts w:ascii="Times New Roman" w:cs="Times New Roman" w:eastAsia="Times New Roman" w:hAnsi="Times New Roman"/>
          <w:sz w:val="18"/>
          <w:szCs w:val="18"/>
          <w:color w:val="auto"/>
        </w:rPr>
        <w:t>” means, for the Common Stock as of any date, the last closing trade price for the Common Stock on the Trading Market (or, if the Common Stock is then listed on an Eligible Market, on such Eligible Market), as reported by Bloomberg, or, if the Trading Market (or such Eligible Market, as applicable) begins to operate on an extended hours basis and does not designate the closing trade price for the Common Stock, then the last trade price for the Common Stock prior to 4:00 p.m., New York City time, as reported by Bloomberg. All such determinations shall be appropriately adjusted for any stock splits, stock dividends, stock combinations, recapitalizations or other similar transactions during such period.</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Commencement</w:t>
      </w:r>
      <w:r>
        <w:rPr>
          <w:rFonts w:ascii="Times New Roman" w:cs="Times New Roman" w:eastAsia="Times New Roman" w:hAnsi="Times New Roman"/>
          <w:sz w:val="18"/>
          <w:szCs w:val="18"/>
          <w:color w:val="auto"/>
        </w:rPr>
        <w:t>” shall have the meaning assigned to such term in Section 2.1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Commencement Date</w:t>
      </w:r>
      <w:r>
        <w:rPr>
          <w:rFonts w:ascii="Times New Roman" w:cs="Times New Roman" w:eastAsia="Times New Roman" w:hAnsi="Times New Roman"/>
          <w:sz w:val="18"/>
          <w:szCs w:val="18"/>
          <w:color w:val="auto"/>
        </w:rPr>
        <w:t>” shall have the meaning assigned to such term in Section 2.1.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Commencement Irrevocable Transfer Agent Instructions</w:t>
      </w:r>
      <w:r>
        <w:rPr>
          <w:rFonts w:ascii="Times New Roman" w:cs="Times New Roman" w:eastAsia="Times New Roman" w:hAnsi="Times New Roman"/>
          <w:sz w:val="18"/>
          <w:szCs w:val="18"/>
          <w:color w:val="auto"/>
        </w:rPr>
        <w:t>” shall have the meaning assigned to such term in Section 9.1(iii).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U.S. Securities and Exchange Commission or any successor entity.</w:t>
      </w:r>
    </w:p>
    <w:p>
      <w:pPr>
        <w:spacing w:after="0" w:line="16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I-3</w:t>
      </w:r>
    </w:p>
    <w:p>
      <w:pPr>
        <w:sectPr>
          <w:pgSz w:w="11900" w:h="16838" w:orient="portrait"/>
          <w:cols w:equalWidth="0" w:num="1">
            <w:col w:w="10880"/>
          </w:cols>
          <w:pgMar w:left="440" w:top="266" w:right="579" w:bottom="1440" w:gutter="0" w:footer="0" w:header="0"/>
        </w:sectPr>
      </w:pPr>
    </w:p>
    <w:bookmarkStart w:id="109" w:name="page110"/>
    <w:bookmarkEnd w:id="109"/>
    <w:p>
      <w:pPr>
        <w:ind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Commission Documents</w:t>
      </w:r>
      <w:r>
        <w:rPr>
          <w:rFonts w:ascii="Times New Roman" w:cs="Times New Roman" w:eastAsia="Times New Roman" w:hAnsi="Times New Roman"/>
          <w:sz w:val="18"/>
          <w:szCs w:val="18"/>
          <w:color w:val="auto"/>
        </w:rPr>
        <w:t>” shall mean (1) all reports, schedules, registrations, forms, statements, information and other documents filed with or furnished to the Commission by the Company pursuant to the reporting requirements of the Exchange Act, including all material filed with or furnished to the Commission pursuant to Section 13(a), 13(c), 14 or 15(d) of the Exchange Act, and which hereafter shall be filed with or furnished to the Commission by the Company, including, without limitation, the Current Report, (2) each Registration Statement, as the same may be amended from time to time, the Prospectus contained therein and each Prospectus Supplement thereto and (3) all information contained in such filings and all documents and disclosures that have been and heretofore shall be incorporated by reference therein.</w:t>
      </w:r>
    </w:p>
    <w:p>
      <w:pPr>
        <w:spacing w:after="0" w:line="182"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Commitment Shares</w:t>
      </w:r>
      <w:r>
        <w:rPr>
          <w:rFonts w:ascii="Times New Roman" w:cs="Times New Roman" w:eastAsia="Times New Roman" w:hAnsi="Times New Roman"/>
          <w:sz w:val="18"/>
          <w:szCs w:val="18"/>
          <w:color w:val="auto"/>
        </w:rPr>
        <w:t>” means $800,000 worth of the Company’s Common Stock issuable on the [Effective Date], valued at the VWAP Purchase Price as of such date (the “</w:t>
      </w:r>
      <w:r>
        <w:rPr>
          <w:rFonts w:ascii="Times New Roman" w:cs="Times New Roman" w:eastAsia="Times New Roman" w:hAnsi="Times New Roman"/>
          <w:sz w:val="18"/>
          <w:szCs w:val="18"/>
          <w:b w:val="1"/>
          <w:bCs w:val="1"/>
          <w:i w:val="1"/>
          <w:iCs w:val="1"/>
          <w:color w:val="auto"/>
        </w:rPr>
        <w:t>Commitment Shares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shall have the meaning assigned to such term in the recitals of this Agreement.</w:t>
      </w:r>
    </w:p>
    <w:p>
      <w:pPr>
        <w:spacing w:after="0" w:line="225"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have the meaning assigned to such term in the preamble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Compliance Certificate</w:t>
      </w:r>
      <w:r>
        <w:rPr>
          <w:rFonts w:ascii="Times New Roman" w:cs="Times New Roman" w:eastAsia="Times New Roman" w:hAnsi="Times New Roman"/>
          <w:sz w:val="18"/>
          <w:szCs w:val="18"/>
          <w:color w:val="auto"/>
        </w:rPr>
        <w:t>” shall have the meaning assigned to such term in Section 6.2(ii).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Current Report</w:t>
      </w:r>
      <w:r>
        <w:rPr>
          <w:rFonts w:ascii="Times New Roman" w:cs="Times New Roman" w:eastAsia="Times New Roman" w:hAnsi="Times New Roman"/>
          <w:sz w:val="18"/>
          <w:szCs w:val="18"/>
          <w:color w:val="auto"/>
        </w:rPr>
        <w:t>” shall have the meaning assigned to such term in Section 1.3.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Custodian</w:t>
      </w:r>
      <w:r>
        <w:rPr>
          <w:rFonts w:ascii="Times New Roman" w:cs="Times New Roman" w:eastAsia="Times New Roman" w:hAnsi="Times New Roman"/>
          <w:sz w:val="18"/>
          <w:szCs w:val="18"/>
          <w:color w:val="auto"/>
        </w:rPr>
        <w:t>” shall mean any receiver, trustee, assignee, liquidator or similar official under any Bankruptcy Law.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Damages</w:t>
      </w:r>
      <w:r>
        <w:rPr>
          <w:rFonts w:ascii="Times New Roman" w:cs="Times New Roman" w:eastAsia="Times New Roman" w:hAnsi="Times New Roman"/>
          <w:sz w:val="18"/>
          <w:szCs w:val="18"/>
          <w:color w:val="auto"/>
        </w:rPr>
        <w:t>” shall have the meaning assigned to such term in Section 8.1.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Dilutive Issuance</w:t>
      </w:r>
      <w:r>
        <w:rPr>
          <w:rFonts w:ascii="Times New Roman" w:cs="Times New Roman" w:eastAsia="Times New Roman" w:hAnsi="Times New Roman"/>
          <w:sz w:val="18"/>
          <w:szCs w:val="18"/>
          <w:color w:val="auto"/>
        </w:rPr>
        <w:t>” shall have the meaning assigned to such term in Section 5.6(ii).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Disclosure Schedule</w:t>
      </w:r>
      <w:r>
        <w:rPr>
          <w:rFonts w:ascii="Times New Roman" w:cs="Times New Roman" w:eastAsia="Times New Roman" w:hAnsi="Times New Roman"/>
          <w:sz w:val="18"/>
          <w:szCs w:val="18"/>
          <w:color w:val="auto"/>
        </w:rPr>
        <w:t>” shall have the meaning assigned to such term in Section 4.1.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Disqualification Event</w:t>
      </w:r>
      <w:r>
        <w:rPr>
          <w:rFonts w:ascii="Times New Roman" w:cs="Times New Roman" w:eastAsia="Times New Roman" w:hAnsi="Times New Roman"/>
          <w:sz w:val="18"/>
          <w:szCs w:val="18"/>
          <w:color w:val="auto"/>
        </w:rPr>
        <w:t>” shall have the meaning assigned to such term in Section 4.37.</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means The Depository Trust Company, a subsidiary of The Depository Trust &amp; Clearing Corporation, or any successor thereto.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DWAC</w:t>
      </w:r>
      <w:r>
        <w:rPr>
          <w:rFonts w:ascii="Times New Roman" w:cs="Times New Roman" w:eastAsia="Times New Roman" w:hAnsi="Times New Roman"/>
          <w:sz w:val="18"/>
          <w:szCs w:val="18"/>
          <w:color w:val="auto"/>
        </w:rPr>
        <w:t>” shall have the meaning assigned to such term in Section 2.6.</w:t>
      </w:r>
    </w:p>
    <w:p>
      <w:pPr>
        <w:spacing w:after="0" w:line="16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I-4</w:t>
      </w:r>
    </w:p>
    <w:p>
      <w:pPr>
        <w:sectPr>
          <w:pgSz w:w="11900" w:h="16838" w:orient="portrait"/>
          <w:cols w:equalWidth="0" w:num="1">
            <w:col w:w="10920"/>
          </w:cols>
          <w:pgMar w:left="440" w:top="266" w:right="539" w:bottom="1440" w:gutter="0" w:footer="0" w:header="0"/>
        </w:sectPr>
      </w:pPr>
    </w:p>
    <w:bookmarkStart w:id="110" w:name="page111"/>
    <w:bookmarkEnd w:id="110"/>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DWAC Shares</w:t>
      </w:r>
      <w:r>
        <w:rPr>
          <w:rFonts w:ascii="Times New Roman" w:cs="Times New Roman" w:eastAsia="Times New Roman" w:hAnsi="Times New Roman"/>
          <w:sz w:val="18"/>
          <w:szCs w:val="18"/>
          <w:color w:val="auto"/>
        </w:rPr>
        <w:t>” means shares of Common Stock issued pursuant to this Agreement that are (i) issued in electronic form, (ii) freely tradable and transferable and without restriction on resale and without stop transfer instructions maintained against the transfer thereof and (iii) timely credited by the Company to the Investor’s or its designated Broker-Dealer at which the account or accounts to be credited with the Securities being purchased by Investor are maintained specified DWAC account with DTC under its Fast Automated Securities Transfer (FAST) Program, or any similar program hereafter adopted by DTC performing substantially the same function.</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 means the Commission’s Electronic Data Gathering, Analysis and Retrieval System.</w:t>
      </w:r>
    </w:p>
    <w:p>
      <w:pPr>
        <w:spacing w:after="0" w:line="225" w:lineRule="exact"/>
        <w:rPr>
          <w:sz w:val="20"/>
          <w:szCs w:val="20"/>
          <w:color w:val="auto"/>
        </w:rPr>
      </w:pPr>
    </w:p>
    <w:p>
      <w:pPr>
        <w:ind w:left="4"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with respect to the Registration Statement filed pursuant to Section 2(a) of the Registration Rights Agreement (or any post-effective amendment thereto) or any New Registration Statement filed pursuant to Section 2(c) of the Registration Rights Agreement (or any post-effective amendment thereto), as applicable, the date on which the Registration Statement (or any post-effective amendment thereto) is declared effective by the Commission.</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Effectiveness Deadline</w:t>
      </w:r>
      <w:r>
        <w:rPr>
          <w:rFonts w:ascii="Times New Roman" w:cs="Times New Roman" w:eastAsia="Times New Roman" w:hAnsi="Times New Roman"/>
          <w:sz w:val="18"/>
          <w:szCs w:val="18"/>
          <w:color w:val="auto"/>
        </w:rPr>
        <w:t>” shall have the meaning assigned to such term in the Registration Rights Agreement.</w:t>
      </w:r>
    </w:p>
    <w:p>
      <w:pPr>
        <w:spacing w:after="0" w:line="225" w:lineRule="exact"/>
        <w:rPr>
          <w:sz w:val="20"/>
          <w:szCs w:val="20"/>
          <w:color w:val="auto"/>
        </w:rPr>
      </w:pPr>
    </w:p>
    <w:p>
      <w:pPr>
        <w:ind w:left="4"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Market</w:t>
      </w:r>
      <w:r>
        <w:rPr>
          <w:rFonts w:ascii="Times New Roman" w:cs="Times New Roman" w:eastAsia="Times New Roman" w:hAnsi="Times New Roman"/>
          <w:sz w:val="18"/>
          <w:szCs w:val="18"/>
          <w:color w:val="auto"/>
        </w:rPr>
        <w:t>” means The New York Stock Exchange American, the New York Stock Exchange, Nasdaq Capital Market, The Nasdaq Global Market, The Nasdaq Global Select Market, OTCQB, OTCQX or OTCID (or any nationally recognized successor to any of the foregoing).</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shall have the meaning assigned to such term in Section 4.16 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thereunder.</w:t>
      </w:r>
    </w:p>
    <w:p>
      <w:pPr>
        <w:spacing w:after="0" w:line="225" w:lineRule="exact"/>
        <w:rPr>
          <w:sz w:val="20"/>
          <w:szCs w:val="20"/>
          <w:color w:val="auto"/>
        </w:rPr>
      </w:pPr>
    </w:p>
    <w:p>
      <w:pPr>
        <w:ind w:left="4" w:right="2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Exempt Issuance</w:t>
      </w:r>
      <w:r>
        <w:rPr>
          <w:rFonts w:ascii="Times New Roman" w:cs="Times New Roman" w:eastAsia="Times New Roman" w:hAnsi="Times New Roman"/>
          <w:sz w:val="17"/>
          <w:szCs w:val="17"/>
          <w:color w:val="auto"/>
        </w:rPr>
        <w:t>” means the issuance of (a) Common Stock, options or other equity incentive awards to employees, officers, directors or vendors of the Company pursuant to any equity incentive plan duly adopted for such purpose, by the Company’s Board of Directors or a majority of the members of a committee of the Board of Directors established for such purpose, (b) (1) any Securities issued to the Investor pursuant to this Agreement,</w:t>
      </w:r>
    </w:p>
    <w:p>
      <w:pPr>
        <w:spacing w:after="0" w:line="1" w:lineRule="exact"/>
        <w:rPr>
          <w:sz w:val="20"/>
          <w:szCs w:val="20"/>
          <w:color w:val="auto"/>
        </w:rPr>
      </w:pPr>
    </w:p>
    <w:p>
      <w:pPr>
        <w:ind w:left="4" w:right="140" w:hanging="4"/>
        <w:spacing w:after="0" w:line="250" w:lineRule="auto"/>
        <w:tabs>
          <w:tab w:leader="none" w:pos="25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issued upon the exercise or exchange of or conversion of any shares of Common Stock or Common Stock Equivalents held by the Investor at any time, or (3) any securities issued upon the exercise or exchange of or conversion of any Common Stock Equivalents that are issued and outstanding on the date of this Agreement, provided that such securities referred to in this clause (3) have not been amended since the date of this Agreement to increase the number of such securities or to decrease the exercise price, exchange price or conversion price of such securities,</w:t>
      </w:r>
    </w:p>
    <w:p>
      <w:pPr>
        <w:spacing w:after="0" w:line="1" w:lineRule="exact"/>
        <w:rPr>
          <w:rFonts w:ascii="Times New Roman" w:cs="Times New Roman" w:eastAsia="Times New Roman" w:hAnsi="Times New Roman"/>
          <w:sz w:val="18"/>
          <w:szCs w:val="18"/>
          <w:color w:val="auto"/>
        </w:rPr>
      </w:pPr>
    </w:p>
    <w:p>
      <w:pPr>
        <w:ind w:left="4"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securities issued pursuant to acquisitions, divestitures, licenses, partnerships, collaborations or strategic transactions approved by the Company’s Board of Directors or a majority of the members of a committee of directors established for such purpose, which acquisitions, divestitures, licenses, partnerships, collaborations or strategic transactions can have a Variable Rate Transaction component, provided that any such issuance shall only be to a Person (or to the equity holders of a Person) which is, itself or through its subsidiaries, an operating company or an asset in a business synergistic with the business of the Company and shall provide to the Company additional benefits</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I-5</w:t>
      </w:r>
    </w:p>
    <w:p>
      <w:pPr>
        <w:sectPr>
          <w:pgSz w:w="11900" w:h="16838" w:orient="portrait"/>
          <w:cols w:equalWidth="0" w:num="1">
            <w:col w:w="10984"/>
          </w:cols>
          <w:pgMar w:left="436" w:top="266" w:right="479" w:bottom="1440" w:gutter="0" w:footer="0" w:header="0"/>
        </w:sectPr>
      </w:pPr>
    </w:p>
    <w:bookmarkStart w:id="111" w:name="page112"/>
    <w:bookmarkEnd w:id="111"/>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addition to the investment of funds, but shall not include a transaction in which the Company is issuing securities primarily for the purpose of raising capital or to an entity whose primary business is investing in securities, (d) Common Stock issued by the Company by any method deemed to be an “at the market offering” as defined in Rule 415(a)(4) under the Securities Act, exclusively through a registered broker-dealer, as the Company’s sales agent, pursuant to one or more written agreements between the Company and such registered broker-dealer, or (e) Common Stock issued by the Company pursuant to Section 3(a)(9) of the Securities Act as set forth on </w:t>
      </w:r>
      <w:r>
        <w:rPr>
          <w:rFonts w:ascii="Times New Roman" w:cs="Times New Roman" w:eastAsia="Times New Roman" w:hAnsi="Times New Roman"/>
          <w:sz w:val="18"/>
          <w:szCs w:val="18"/>
          <w:u w:val="single" w:color="auto"/>
          <w:color w:val="auto"/>
        </w:rPr>
        <w:t>Schedule [ ]</w:t>
      </w:r>
      <w:r>
        <w:rPr>
          <w:rFonts w:ascii="Times New Roman" w:cs="Times New Roman" w:eastAsia="Times New Roman" w:hAnsi="Times New Roman"/>
          <w:sz w:val="18"/>
          <w:szCs w:val="18"/>
          <w:color w:val="auto"/>
        </w:rPr>
        <w:t xml:space="preserve"> hereto.</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FCPA</w:t>
      </w:r>
      <w:r>
        <w:rPr>
          <w:rFonts w:ascii="Times New Roman" w:cs="Times New Roman" w:eastAsia="Times New Roman" w:hAnsi="Times New Roman"/>
          <w:sz w:val="18"/>
          <w:szCs w:val="18"/>
          <w:color w:val="auto"/>
        </w:rPr>
        <w:t>” shall have the meaning assigned to such term in Section 4.33.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Filed Commission Document</w:t>
      </w:r>
      <w:r>
        <w:rPr>
          <w:rFonts w:ascii="Times New Roman" w:cs="Times New Roman" w:eastAsia="Times New Roman" w:hAnsi="Times New Roman"/>
          <w:sz w:val="18"/>
          <w:szCs w:val="18"/>
          <w:color w:val="auto"/>
        </w:rPr>
        <w:t>” shall have the meaning assigned to such term in Section 4.6.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Filing Deadline</w:t>
      </w:r>
      <w:r>
        <w:rPr>
          <w:rFonts w:ascii="Times New Roman" w:cs="Times New Roman" w:eastAsia="Times New Roman" w:hAnsi="Times New Roman"/>
          <w:sz w:val="18"/>
          <w:szCs w:val="18"/>
          <w:color w:val="auto"/>
        </w:rPr>
        <w:t>” shall have the meaning assigned to such term in the Registration Rights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means the Financial Industry Regulatory Authority.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Fixed Purchase</w:t>
      </w:r>
      <w:r>
        <w:rPr>
          <w:rFonts w:ascii="Times New Roman" w:cs="Times New Roman" w:eastAsia="Times New Roman" w:hAnsi="Times New Roman"/>
          <w:sz w:val="18"/>
          <w:szCs w:val="18"/>
          <w:color w:val="auto"/>
        </w:rPr>
        <w:t>” shall have the meaning assigned to such term in Section 2.1.</w:t>
      </w:r>
    </w:p>
    <w:p>
      <w:pPr>
        <w:spacing w:after="0" w:line="225" w:lineRule="exact"/>
        <w:rPr>
          <w:sz w:val="20"/>
          <w:szCs w:val="20"/>
          <w:color w:val="auto"/>
        </w:rPr>
      </w:pPr>
    </w:p>
    <w:p>
      <w:pPr>
        <w:jc w:val="both"/>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Fixed Purchase Date</w:t>
      </w:r>
      <w:r>
        <w:rPr>
          <w:rFonts w:ascii="Times New Roman" w:cs="Times New Roman" w:eastAsia="Times New Roman" w:hAnsi="Times New Roman"/>
          <w:sz w:val="18"/>
          <w:szCs w:val="18"/>
          <w:color w:val="auto"/>
        </w:rPr>
        <w:t>” means, with respect to a Fixed Purchase made pursuant to Section 2.1, the Trading Day on which the Investor receives, after 4:00 p.m., New York City time, but prior to 5:30 p.m., New York City time, on such Trading Day, a valid Fixed Purchase Notice for such Fixed Purchase in accordance with this Agreement.</w:t>
      </w:r>
    </w:p>
    <w:p>
      <w:pPr>
        <w:spacing w:after="0" w:line="171"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Fixed Purchase Maximum Amount</w:t>
      </w:r>
      <w:r>
        <w:rPr>
          <w:rFonts w:ascii="Times New Roman" w:cs="Times New Roman" w:eastAsia="Times New Roman" w:hAnsi="Times New Roman"/>
          <w:sz w:val="18"/>
          <w:szCs w:val="18"/>
          <w:color w:val="auto"/>
        </w:rPr>
        <w:t>” means, with respect to a Fixed Purchase made pursuant to Section 2.1, the lesser of (i) $1,500,000 and (ii) 10% of the average shares of Common Stock traded for the ten Trading Days prior to such applicable Fixed Purchase Date.</w:t>
      </w:r>
    </w:p>
    <w:p>
      <w:pPr>
        <w:spacing w:after="0" w:line="155" w:lineRule="exact"/>
        <w:rPr>
          <w:sz w:val="20"/>
          <w:szCs w:val="20"/>
          <w:color w:val="auto"/>
        </w:rPr>
      </w:pPr>
    </w:p>
    <w:p>
      <w:pPr>
        <w:ind w:right="2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Fixed Purchase Notice</w:t>
      </w:r>
      <w:r>
        <w:rPr>
          <w:rFonts w:ascii="Times New Roman" w:cs="Times New Roman" w:eastAsia="Times New Roman" w:hAnsi="Times New Roman"/>
          <w:sz w:val="18"/>
          <w:szCs w:val="18"/>
          <w:color w:val="auto"/>
        </w:rPr>
        <w:t>” means, with respect to a Fixed Purchase pursuant to Section 2.1, an irrevocable written notice delivered by the Company to the Investor directing the Investor to purchase a Fixed Purchase Share Amount (such specified Fixed Purchase Share Amount subject to adjustment as set forth in Section 2.1 as necessary to give effect to the Fixed Purchase Maximum Amount), at the applicable Fixed Purchase Price therefor on the applicable Fixed Purchase Date for such Fixed Purchase in accordance with this Agreement.</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Fixed Purchase Price</w:t>
      </w:r>
      <w:r>
        <w:rPr>
          <w:rFonts w:ascii="Times New Roman" w:cs="Times New Roman" w:eastAsia="Times New Roman" w:hAnsi="Times New Roman"/>
          <w:sz w:val="18"/>
          <w:szCs w:val="18"/>
          <w:color w:val="auto"/>
        </w:rPr>
        <w:t xml:space="preserve">” means, with respect to a Fixed Purchase made pursuant to Section 2.1, the purchase price per Share to be purchased by the Investor in such Fixed Purchase equal to the lesser of (i) the average of the three lowest Closing Sale Prices of the Common Stock during the ten Trading Day period immediately preceding the applicable Fixed Purchase Date for such Fixed Purchase and (ii) the lowest trading price of a share of Common Stock on the applicable Fixed Purchase Date for such Fixed Purchase during the full Trading Day on the Eligible Market on such applicable Purchase Date (in each case, to be appropriately adjusted for any reorganization, recapitalization, non-cash dividend, stock split or other similar transaction that occurs on or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the closing price of the Common Stock on the date such Fixed Purchase Share Amount corresponding to a Fixed Purchase Notice is delivered is lower than the Fixed Purchase Price, then the Fixed Purchase Price for such Fixed Purchase Price Share Amount shall be reduced to equal such closing price.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I-6</w:t>
      </w:r>
    </w:p>
    <w:p>
      <w:pPr>
        <w:sectPr>
          <w:pgSz w:w="11900" w:h="16838" w:orient="portrait"/>
          <w:cols w:equalWidth="0" w:num="1">
            <w:col w:w="10960"/>
          </w:cols>
          <w:pgMar w:left="440" w:top="270" w:right="499" w:bottom="1440" w:gutter="0" w:footer="0" w:header="0"/>
        </w:sectPr>
      </w:pPr>
    </w:p>
    <w:bookmarkStart w:id="112" w:name="page113"/>
    <w:bookmarkEnd w:id="112"/>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Fixed Purchase Share Amount</w:t>
      </w:r>
      <w:r>
        <w:rPr>
          <w:rFonts w:ascii="Times New Roman" w:cs="Times New Roman" w:eastAsia="Times New Roman" w:hAnsi="Times New Roman"/>
          <w:sz w:val="18"/>
          <w:szCs w:val="18"/>
          <w:color w:val="auto"/>
        </w:rPr>
        <w:t>” means, with respect to a Fixed Purchase made pursuant to Section 2.1, the number of Shares to be purchased by the Investor in such Fixed Purchase as specified by the Company in the applicable Fixed Purchase Notice, which number of Shares shall not exceed the applicable Fixed Purchase Maximum Amount (calculated as of the applicable Fixed Purchase Date).</w:t>
      </w:r>
    </w:p>
    <w:p>
      <w:pPr>
        <w:spacing w:after="0" w:line="171"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Floor Price</w:t>
      </w:r>
      <w:r>
        <w:rPr>
          <w:rFonts w:ascii="Times New Roman" w:cs="Times New Roman" w:eastAsia="Times New Roman" w:hAnsi="Times New Roman"/>
          <w:sz w:val="18"/>
          <w:szCs w:val="18"/>
          <w:color w:val="auto"/>
        </w:rPr>
        <w:t>” means $1.10, which shall be appropriately adjusted for any reorganization, recapitalization, stock split, reverse stock split, or other similar transactions that occur on or after the date of this Agreement.</w:t>
      </w:r>
    </w:p>
    <w:p>
      <w:pPr>
        <w:spacing w:after="0" w:line="15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Fundamental Transaction</w:t>
      </w:r>
      <w:r>
        <w:rPr>
          <w:rFonts w:ascii="Times New Roman" w:cs="Times New Roman" w:eastAsia="Times New Roman" w:hAnsi="Times New Roman"/>
          <w:sz w:val="18"/>
          <w:szCs w:val="18"/>
          <w:color w:val="auto"/>
        </w:rPr>
        <w:t>” means that (i) the Company shall, directly or indirectly, in one or more related transactions, (1) consolidate or merge with or into (whether or not the Company is the surviving corporation) another Person, with the result that the holders of the Company’s capital stock immediately prior to such consolidation or merger together beneficially own less than 50% of the outstanding voting power of the surviving or resulting corporation, or (2) sell, lease, license, assign, transfer, convey or otherwise dispose of all or substantially all of the properties or assets of the Company to another Person, or (3) take action to facilitate a purchase, tender or exchange offer by another Person that is accepted by the holders of the Company’s Voting Stock representing more than 50% of the total voting power of the Company’s Voting Stock (excluding any Voting Stock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another Person whereby such other Person acquires Voting Stock of the Company representing more than 50% of the total voting power of the Company’s Voting Stock (not including any Voting Stock held by the other Person or other Persons making or party to, or associated or affiliated with the other Persons making or party to, such stock or share purchase agreement or other business combination), or (5) reorganize, recapitalize or reclassify its Common Stock, or (ii) any “person” or “group” (as these terms are used for purposes of Sections 13(d) and 14(d) of the Exchange Act) is or shall become the “beneficial owner” (as defined in Rule 13d-3 under the Exchange Act), directly or indirectly, of Voting Stock of the Company representing more than 50% of the total voting power of the Company’s Voting Stock.</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shall have the meaning assigned to such term in Section 4.6(b).</w:t>
      </w:r>
    </w:p>
    <w:p>
      <w:pPr>
        <w:spacing w:after="0" w:line="22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Investment Period</w:t>
      </w:r>
      <w:r>
        <w:rPr>
          <w:rFonts w:ascii="Times New Roman" w:cs="Times New Roman" w:eastAsia="Times New Roman" w:hAnsi="Times New Roman"/>
          <w:sz w:val="18"/>
          <w:szCs w:val="18"/>
          <w:color w:val="auto"/>
        </w:rPr>
        <w:t>” means the period commencing on the Effective Date of the Registration Statement and expiring on the date this Agreement is terminated pursuant to Article VII.</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shall have the meaning assigned to such term in the preamble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 Expense Reimbursement</w:t>
      </w:r>
      <w:r>
        <w:rPr>
          <w:rFonts w:ascii="Times New Roman" w:cs="Times New Roman" w:eastAsia="Times New Roman" w:hAnsi="Times New Roman"/>
          <w:sz w:val="18"/>
          <w:szCs w:val="18"/>
          <w:color w:val="auto"/>
        </w:rPr>
        <w:t>” shall have the meaning assigned to such term in Section 9.1(i).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 Party</w:t>
      </w:r>
      <w:r>
        <w:rPr>
          <w:rFonts w:ascii="Times New Roman" w:cs="Times New Roman" w:eastAsia="Times New Roman" w:hAnsi="Times New Roman"/>
          <w:sz w:val="18"/>
          <w:szCs w:val="18"/>
          <w:color w:val="auto"/>
        </w:rPr>
        <w:t>” shall have the meaning assigned to such term in Section 8.1.</w:t>
      </w:r>
    </w:p>
    <w:p>
      <w:pPr>
        <w:spacing w:after="0" w:line="16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I-7</w:t>
      </w:r>
    </w:p>
    <w:p>
      <w:pPr>
        <w:sectPr>
          <w:pgSz w:w="11900" w:h="16838" w:orient="portrait"/>
          <w:cols w:equalWidth="0" w:num="1">
            <w:col w:w="11000"/>
          </w:cols>
          <w:pgMar w:left="440" w:top="266" w:right="459" w:bottom="1440" w:gutter="0" w:footer="0" w:header="0"/>
        </w:sectPr>
      </w:pPr>
    </w:p>
    <w:bookmarkStart w:id="113" w:name="page114"/>
    <w:bookmarkEnd w:id="11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Issuer Covered Person</w:t>
      </w:r>
      <w:r>
        <w:rPr>
          <w:rFonts w:ascii="Times New Roman" w:cs="Times New Roman" w:eastAsia="Times New Roman" w:hAnsi="Times New Roman"/>
          <w:sz w:val="18"/>
          <w:szCs w:val="18"/>
          <w:color w:val="auto"/>
        </w:rPr>
        <w:t>” shall have the meaning assigned to such term in Section 4.37.</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IT Systems</w:t>
      </w:r>
      <w:r>
        <w:rPr>
          <w:rFonts w:ascii="Times New Roman" w:cs="Times New Roman" w:eastAsia="Times New Roman" w:hAnsi="Times New Roman"/>
          <w:sz w:val="18"/>
          <w:szCs w:val="18"/>
          <w:color w:val="auto"/>
        </w:rPr>
        <w:t>” shall have the meaning assigned to such term in Section 4.36.</w:t>
      </w:r>
    </w:p>
    <w:p>
      <w:pPr>
        <w:spacing w:after="0" w:line="225" w:lineRule="exact"/>
        <w:rPr>
          <w:sz w:val="20"/>
          <w:szCs w:val="20"/>
          <w:color w:val="auto"/>
        </w:rPr>
      </w:pPr>
    </w:p>
    <w:p>
      <w:pPr>
        <w:ind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Knowledge</w:t>
      </w:r>
      <w:r>
        <w:rPr>
          <w:rFonts w:ascii="Times New Roman" w:cs="Times New Roman" w:eastAsia="Times New Roman" w:hAnsi="Times New Roman"/>
          <w:sz w:val="17"/>
          <w:szCs w:val="17"/>
          <w:color w:val="auto"/>
        </w:rPr>
        <w:t>” means, with respect to the Company, the actual knowledge of the Company’s Chief Executive Officer and President, Chief Financial Officer and Treasurer, and its General Counsel, in each case after reasonable inquiry of all officers, directors and employees of the Company and its Subsidiaries under their direct supervision who would reasonably be expected to have knowledge or information with respect to the matter in question.</w:t>
      </w:r>
    </w:p>
    <w:p>
      <w:pPr>
        <w:spacing w:after="0" w:line="15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means any material adverse effect on (i) the enforceability of any Transaction Document, (ii) the results of operations, assets, business or financial condition of the Company and its Subsidiaries, taken as a whole, other than any material adverse effect that resulted primarily from (A) any change in the United States or foreign economies or securities or financial markets in general, (B) any change that generally affects the industry in which the Company and its Subsidiaries operate, (C) any change arising in connection with earthquakes, hostilities, acts of war, sabotage or terrorism or military actions or any escalation or material worsening of any such hostilities, acts of war, sabotage or terrorism or military actions existing as of the date hereof, (D) any action taken by the Investor, its Affiliates or its or their successors and assigns with respect to the transactions contemplated by this Agreement and the Registration Rights Agreement, (E) the effect of any change in applicable laws or accounting rules, or (F) any change resulting from compliance with terms of this Agreement or the Registration Rights Agreement or the consummation of the transactions contemplated by this Agreement and the Registration Rights Agreement, or (iii) the Company’s ability to perform in any material respect on a timely basis its obligations under any Transaction Document to which it is a party to be performed as of the date of determination.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Agreements</w:t>
      </w:r>
      <w:r>
        <w:rPr>
          <w:rFonts w:ascii="Times New Roman" w:cs="Times New Roman" w:eastAsia="Times New Roman" w:hAnsi="Times New Roman"/>
          <w:sz w:val="18"/>
          <w:szCs w:val="18"/>
          <w:color w:val="auto"/>
        </w:rPr>
        <w:t>” shall have the meaning assigned to such term in Section 4.17.</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Money Laundering Laws</w:t>
      </w:r>
      <w:r>
        <w:rPr>
          <w:rFonts w:ascii="Times New Roman" w:cs="Times New Roman" w:eastAsia="Times New Roman" w:hAnsi="Times New Roman"/>
          <w:sz w:val="18"/>
          <w:szCs w:val="18"/>
          <w:color w:val="auto"/>
        </w:rPr>
        <w:t>” shall have the meaning assigned to such term in Section 4.34.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New Registration Statement</w:t>
      </w:r>
      <w:r>
        <w:rPr>
          <w:rFonts w:ascii="Times New Roman" w:cs="Times New Roman" w:eastAsia="Times New Roman" w:hAnsi="Times New Roman"/>
          <w:sz w:val="18"/>
          <w:szCs w:val="18"/>
          <w:color w:val="auto"/>
        </w:rPr>
        <w:t>” shall have the meaning assigned to such term in the Registration Rights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 Delivery Time</w:t>
      </w:r>
      <w:r>
        <w:rPr>
          <w:rFonts w:ascii="Times New Roman" w:cs="Times New Roman" w:eastAsia="Times New Roman" w:hAnsi="Times New Roman"/>
          <w:sz w:val="18"/>
          <w:szCs w:val="18"/>
          <w:color w:val="auto"/>
        </w:rPr>
        <w:t>” shall have the meaning assigned to such term in Section 6.3.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 of Effectiveness</w:t>
      </w:r>
      <w:r>
        <w:rPr>
          <w:rFonts w:ascii="Times New Roman" w:cs="Times New Roman" w:eastAsia="Times New Roman" w:hAnsi="Times New Roman"/>
          <w:sz w:val="18"/>
          <w:szCs w:val="18"/>
          <w:color w:val="auto"/>
        </w:rPr>
        <w:t>” shall have the meaning assigned to such term in Section 9.1(iv).</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OFAC</w:t>
      </w:r>
      <w:r>
        <w:rPr>
          <w:rFonts w:ascii="Times New Roman" w:cs="Times New Roman" w:eastAsia="Times New Roman" w:hAnsi="Times New Roman"/>
          <w:sz w:val="18"/>
          <w:szCs w:val="18"/>
          <w:color w:val="auto"/>
        </w:rPr>
        <w:t>” shall have the meaning assigned to such term in Section 4.35.</w:t>
      </w:r>
    </w:p>
    <w:p>
      <w:pPr>
        <w:spacing w:after="0" w:line="22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person or entity, whether a natural person, trustee, corporation, partnership, limited partnership, limited liability company, trust, unincorporated organization, business association, firm, joint venture, governmental agency or authority.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shall have the meaning assigned to such term in Section 4.36.</w:t>
      </w:r>
    </w:p>
    <w:p>
      <w:pPr>
        <w:spacing w:after="0" w:line="16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I-8</w:t>
      </w:r>
    </w:p>
    <w:p>
      <w:pPr>
        <w:sectPr>
          <w:pgSz w:w="11900" w:h="16838" w:orient="portrait"/>
          <w:cols w:equalWidth="0" w:num="1">
            <w:col w:w="11000"/>
          </w:cols>
          <w:pgMar w:left="440" w:top="266" w:right="459" w:bottom="1440" w:gutter="0" w:footer="0" w:header="0"/>
        </w:sectPr>
      </w:pPr>
    </w:p>
    <w:bookmarkStart w:id="114" w:name="page115"/>
    <w:bookmarkEnd w:id="114"/>
    <w:p>
      <w:pPr>
        <w:ind w:right="5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means the prospectus in the form included in a Registration Statement, as supplemented from time to time by any Prospectus Supplement, including the documents incorporated by reference therein.</w:t>
      </w:r>
    </w:p>
    <w:p>
      <w:pPr>
        <w:spacing w:after="0" w:line="15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means any prospectus supplement to the Prospectus filed with the Commission from time to time pursuant to Rule 424(b) under the Securities Act, including the documents incorporated by reference therein.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Reference Period</w:t>
      </w:r>
      <w:r>
        <w:rPr>
          <w:rFonts w:ascii="Times New Roman" w:cs="Times New Roman" w:eastAsia="Times New Roman" w:hAnsi="Times New Roman"/>
          <w:sz w:val="18"/>
          <w:szCs w:val="18"/>
          <w:color w:val="auto"/>
        </w:rPr>
        <w:t>” shall have the meaning assigned to such term in Section 5.6(ii).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Reference Price</w:t>
      </w:r>
      <w:r>
        <w:rPr>
          <w:rFonts w:ascii="Times New Roman" w:cs="Times New Roman" w:eastAsia="Times New Roman" w:hAnsi="Times New Roman"/>
          <w:sz w:val="18"/>
          <w:szCs w:val="18"/>
          <w:color w:val="auto"/>
        </w:rPr>
        <w:t>” shall have the meaning assigned to such term in Section 5.6(ii).</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Registrable Securities</w:t>
      </w:r>
      <w:r>
        <w:rPr>
          <w:rFonts w:ascii="Times New Roman" w:cs="Times New Roman" w:eastAsia="Times New Roman" w:hAnsi="Times New Roman"/>
          <w:sz w:val="18"/>
          <w:szCs w:val="18"/>
          <w:color w:val="auto"/>
        </w:rPr>
        <w:t>” shall have the meaning assigned to such term in the Registration Rights Agreement, and shall include the Commitment Shares.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Regulation D</w:t>
      </w:r>
      <w:r>
        <w:rPr>
          <w:rFonts w:ascii="Times New Roman" w:cs="Times New Roman" w:eastAsia="Times New Roman" w:hAnsi="Times New Roman"/>
          <w:sz w:val="18"/>
          <w:szCs w:val="18"/>
          <w:color w:val="auto"/>
        </w:rPr>
        <w:t>” shall have the meaning assigned to such term in the recitals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Period</w:t>
      </w:r>
      <w:r>
        <w:rPr>
          <w:rFonts w:ascii="Times New Roman" w:cs="Times New Roman" w:eastAsia="Times New Roman" w:hAnsi="Times New Roman"/>
          <w:sz w:val="18"/>
          <w:szCs w:val="18"/>
          <w:color w:val="auto"/>
        </w:rPr>
        <w:t>” shall have the meaning assigned to such term in Section 5.9(i).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Person</w:t>
      </w:r>
      <w:r>
        <w:rPr>
          <w:rFonts w:ascii="Times New Roman" w:cs="Times New Roman" w:eastAsia="Times New Roman" w:hAnsi="Times New Roman"/>
          <w:sz w:val="18"/>
          <w:szCs w:val="18"/>
          <w:color w:val="auto"/>
        </w:rPr>
        <w:t>” shall have the meaning assigned to such term in Section 5.9(i).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Persons</w:t>
      </w:r>
      <w:r>
        <w:rPr>
          <w:rFonts w:ascii="Times New Roman" w:cs="Times New Roman" w:eastAsia="Times New Roman" w:hAnsi="Times New Roman"/>
          <w:sz w:val="18"/>
          <w:szCs w:val="18"/>
          <w:color w:val="auto"/>
        </w:rPr>
        <w:t>” shall have the meaning assigned to such term in Section 5.9(i).</w:t>
      </w:r>
    </w:p>
    <w:p>
      <w:pPr>
        <w:spacing w:after="0" w:line="22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from time to time, or any similar rule or regulation hereafter adopted by the Commission having substantially the same effect.</w:t>
      </w:r>
    </w:p>
    <w:p>
      <w:pPr>
        <w:spacing w:after="0" w:line="155" w:lineRule="exact"/>
        <w:rPr>
          <w:sz w:val="20"/>
          <w:szCs w:val="20"/>
          <w:color w:val="auto"/>
        </w:rPr>
      </w:pPr>
    </w:p>
    <w:p>
      <w:pPr>
        <w:ind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Sale Price</w:t>
      </w:r>
      <w:r>
        <w:rPr>
          <w:rFonts w:ascii="Times New Roman" w:cs="Times New Roman" w:eastAsia="Times New Roman" w:hAnsi="Times New Roman"/>
          <w:sz w:val="17"/>
          <w:szCs w:val="17"/>
          <w:color w:val="auto"/>
        </w:rPr>
        <w:t>” means any trade price for a share of Common Stock executed on the Trading Market (or if the Common Stock is then traded on an Eligible Market, on such Eligible Market) between 9:30 a.m., New York City time, or such other time publicly announced by the Trading Market or such other Eligible Market, as the case may be, and ending at 4:00 p.m., New York City time, on the applicable Purchase Date, as reported by Bloomberg.</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Sanctioned Countries</w:t>
      </w:r>
      <w:r>
        <w:rPr>
          <w:rFonts w:ascii="Times New Roman" w:cs="Times New Roman" w:eastAsia="Times New Roman" w:hAnsi="Times New Roman"/>
          <w:sz w:val="18"/>
          <w:szCs w:val="18"/>
          <w:color w:val="auto"/>
        </w:rPr>
        <w:t>” shall have the meaning assigned to such term in Section 4.35.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Sanctioned Country</w:t>
      </w:r>
      <w:r>
        <w:rPr>
          <w:rFonts w:ascii="Times New Roman" w:cs="Times New Roman" w:eastAsia="Times New Roman" w:hAnsi="Times New Roman"/>
          <w:sz w:val="18"/>
          <w:szCs w:val="18"/>
          <w:color w:val="auto"/>
        </w:rPr>
        <w:t>” shall have the meaning assigned to such term in Section 4.35.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Sanctioned Persons</w:t>
      </w:r>
      <w:r>
        <w:rPr>
          <w:rFonts w:ascii="Times New Roman" w:cs="Times New Roman" w:eastAsia="Times New Roman" w:hAnsi="Times New Roman"/>
          <w:sz w:val="18"/>
          <w:szCs w:val="18"/>
          <w:color w:val="auto"/>
        </w:rPr>
        <w:t>” shall have the meaning assigned to such term in Section 4.35.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shall have the meaning assigned to such term in Section 4.35.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4(a)(2)</w:t>
      </w:r>
      <w:r>
        <w:rPr>
          <w:rFonts w:ascii="Times New Roman" w:cs="Times New Roman" w:eastAsia="Times New Roman" w:hAnsi="Times New Roman"/>
          <w:sz w:val="18"/>
          <w:szCs w:val="18"/>
          <w:color w:val="auto"/>
        </w:rPr>
        <w:t>” shall have the meaning assigned to such term in the recitals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collectively, the Shares and the Commitment Shares.</w:t>
      </w:r>
    </w:p>
    <w:p>
      <w:pPr>
        <w:spacing w:after="0" w:line="16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I-9</w:t>
      </w:r>
    </w:p>
    <w:p>
      <w:pPr>
        <w:sectPr>
          <w:pgSz w:w="11900" w:h="16838" w:orient="portrait"/>
          <w:cols w:equalWidth="0" w:num="1">
            <w:col w:w="11000"/>
          </w:cols>
          <w:pgMar w:left="440" w:top="266" w:right="459" w:bottom="1440" w:gutter="0" w:footer="0" w:header="0"/>
        </w:sectPr>
      </w:pPr>
    </w:p>
    <w:bookmarkStart w:id="115" w:name="page116"/>
    <w:bookmarkEnd w:id="11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shall mean the Securities Act of 1933, as amended, and the rules and regulations of the Commission thereunder.</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shall mean the shares of Common Stock that are and/or may be purchased by the Investor under this Agreement pursuant to one or more Fixed Purchase Notices, VWAP Purchase Notices or Additional VWAP Purchase Notices, but not including the Commitment Shares.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Short Sales</w:t>
      </w:r>
      <w:r>
        <w:rPr>
          <w:rFonts w:ascii="Times New Roman" w:cs="Times New Roman" w:eastAsia="Times New Roman" w:hAnsi="Times New Roman"/>
          <w:sz w:val="18"/>
          <w:szCs w:val="18"/>
          <w:color w:val="auto"/>
        </w:rPr>
        <w:t>” shall mean “short sales” as defined in Rule 200 promulgated under Regulation SHO under the Exchange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Plan</w:t>
      </w:r>
      <w:r>
        <w:rPr>
          <w:rFonts w:ascii="Times New Roman" w:cs="Times New Roman" w:eastAsia="Times New Roman" w:hAnsi="Times New Roman"/>
          <w:sz w:val="18"/>
          <w:szCs w:val="18"/>
          <w:color w:val="auto"/>
        </w:rPr>
        <w:t>” shall have the meaning assigned to such term in Section 4.22.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Subsidiaries</w:t>
      </w:r>
      <w:r>
        <w:rPr>
          <w:rFonts w:ascii="Times New Roman" w:cs="Times New Roman" w:eastAsia="Times New Roman" w:hAnsi="Times New Roman"/>
          <w:sz w:val="18"/>
          <w:szCs w:val="18"/>
          <w:color w:val="auto"/>
        </w:rPr>
        <w:t>” shall have the meanings assigned to such terms in Section 4.7.</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Purchase Commitment</w:t>
      </w:r>
      <w:r>
        <w:rPr>
          <w:rFonts w:ascii="Times New Roman" w:cs="Times New Roman" w:eastAsia="Times New Roman" w:hAnsi="Times New Roman"/>
          <w:sz w:val="18"/>
          <w:szCs w:val="18"/>
          <w:color w:val="auto"/>
        </w:rPr>
        <w:t>” shall have the meaning assigned to such term in Section 1.1.</w:t>
      </w:r>
    </w:p>
    <w:p>
      <w:pPr>
        <w:spacing w:after="0" w:line="22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shall mean any day on which the Trading Market or, if the Common Stock is then listed on an Eligible Market, such Eligible Market is open for trading, including any day on which the Trading Market (or such Eligible Market, as applicable) is open for trading for a period of time less than the customary time.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Market</w:t>
      </w:r>
      <w:r>
        <w:rPr>
          <w:rFonts w:ascii="Times New Roman" w:cs="Times New Roman" w:eastAsia="Times New Roman" w:hAnsi="Times New Roman"/>
          <w:sz w:val="18"/>
          <w:szCs w:val="18"/>
          <w:color w:val="auto"/>
        </w:rPr>
        <w:t>” means the Nasdaq Capital Market (or any nationally recognized successor thereto).</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Documents</w:t>
      </w:r>
      <w:r>
        <w:rPr>
          <w:rFonts w:ascii="Times New Roman" w:cs="Times New Roman" w:eastAsia="Times New Roman" w:hAnsi="Times New Roman"/>
          <w:sz w:val="18"/>
          <w:szCs w:val="18"/>
          <w:color w:val="auto"/>
        </w:rPr>
        <w:t>” means, collectively, this Agreement (as qualified by the Disclosure Schedule) and the exhibits hereto, the Registration Rights Agreement and each of the other agreements, documents, certificates and instruments entered into or furnished by the parties hereto in connection with the transactions contemplated hereby and thereby.</w:t>
      </w:r>
    </w:p>
    <w:p>
      <w:pPr>
        <w:spacing w:after="0" w:line="171"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color w:val="auto"/>
        </w:rPr>
        <w:t>” means Equiniti Trust Company, LLC, or such other Person who is then serving as the transfer agent for the Company in respect of the Common Stock.</w:t>
      </w:r>
    </w:p>
    <w:p>
      <w:pPr>
        <w:spacing w:after="0" w:line="155"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Variable Rate Transaction</w:t>
      </w:r>
      <w:r>
        <w:rPr>
          <w:rFonts w:ascii="Times New Roman" w:cs="Times New Roman" w:eastAsia="Times New Roman" w:hAnsi="Times New Roman"/>
          <w:sz w:val="18"/>
          <w:szCs w:val="18"/>
          <w:color w:val="auto"/>
        </w:rPr>
        <w:t>” means a transaction in which the Company (i) issues or sells any equity or debt securities that are convertible into, exchangeable or exercisable for, or include the right to receive additional shares of Common Stock or Common Stock Equivalents either (A) at a conversion price, exercise price, exchange rate or other price that is based upon and/or varies with the trading prices of or quotations for the Common Stock at any time after the initial issuance of such equity or debt securities, or (B) with a conversion, exercise or exchange price that is subject to being reset at some future date after the initial issuance of such equity or debt security or upon the occurrence of specified or contingent events directly or indirectly related to the business of the Company or the market for the Common Stock (including, without limitation, any “full ratchet” or “weighted average” anti-dilution provisions, but not including any standard anti-dilution protection for any reorganization, recapitalization, non-cash dividend, stock split or other similar transaction), (ii) issues or sells any equity or debt securities, including without limitation, Common Stock or Common Stock Equivalents, either (A) at a price that is subject to being reset at some future date after the initial issuance of such debt or equity security or upon the occurrence of</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I-10</w:t>
      </w:r>
    </w:p>
    <w:p>
      <w:pPr>
        <w:sectPr>
          <w:pgSz w:w="11900" w:h="16838" w:orient="portrait"/>
          <w:cols w:equalWidth="0" w:num="1">
            <w:col w:w="10960"/>
          </w:cols>
          <w:pgMar w:left="440" w:top="266" w:right="499" w:bottom="1440" w:gutter="0" w:footer="0" w:header="0"/>
        </w:sectPr>
      </w:pPr>
    </w:p>
    <w:bookmarkStart w:id="116" w:name="page117"/>
    <w:bookmarkEnd w:id="116"/>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specified or contingent events directly or indirectly related to the business of the Company or the market for the Common Stock (other than standard anti-dilution protection for any reorganization, recapitalization, non-cash dividend, stock split or other similar transaction), or (B) that are subject to or contain any put, call, redemption, buy-back, price-reset or other similar provision or mechanism (including, without limitation, a “Black-Scholes” put or call right, other than in connection with a “fundamental transaction”) that provides for the issuance of additional equity securities of the Company or the payment of cash by the Company, or (iii) enters into any agreement with any Person other than the Investor or an Affiliate of the Investor, including, but not limited to, an “equity line of credit” or “at the market offering” or other continuous offering or similar offering of Common Stock or Common Stock Equivalents, whereby the Company may sell Common Stock or Common Stock Equivalents at a future determined price.</w:t>
      </w:r>
    </w:p>
    <w:p>
      <w:pPr>
        <w:spacing w:after="0" w:line="18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Stock</w:t>
      </w:r>
      <w:r>
        <w:rPr>
          <w:rFonts w:ascii="Times New Roman" w:cs="Times New Roman" w:eastAsia="Times New Roman" w:hAnsi="Times New Roman"/>
          <w:sz w:val="18"/>
          <w:szCs w:val="18"/>
          <w:color w:val="auto"/>
        </w:rPr>
        <w:t>” means securities of any class or kind having the power to vote generally for the election of directors, managers or other voting members of the governing body of the Company or any successor thereto.</w:t>
      </w:r>
    </w:p>
    <w:p>
      <w:pPr>
        <w:spacing w:after="0" w:line="15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w:t>
      </w:r>
      <w:r>
        <w:rPr>
          <w:rFonts w:ascii="Times New Roman" w:cs="Times New Roman" w:eastAsia="Times New Roman" w:hAnsi="Times New Roman"/>
          <w:sz w:val="18"/>
          <w:szCs w:val="18"/>
          <w:color w:val="auto"/>
        </w:rPr>
        <w:t>” means, for the Common Stock for a specified period, the dollar volume-weighted average price for the Common Stock on the Trading Market (or, if the Common Stock is then listed on an Eligible Market, on such Eligible Market), for such period, as reported by Bloomberg through its “AQR” function. All such determinations shall be appropriately adjusted for any stock dividend, stock split, stock combination, recapitalization or other similar transaction during such period.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w:t>
      </w:r>
      <w:r>
        <w:rPr>
          <w:rFonts w:ascii="Times New Roman" w:cs="Times New Roman" w:eastAsia="Times New Roman" w:hAnsi="Times New Roman"/>
          <w:sz w:val="18"/>
          <w:szCs w:val="18"/>
          <w:color w:val="auto"/>
        </w:rPr>
        <w:t>” shall have the meaning assigned to such term in Section 2.2.</w:t>
      </w:r>
    </w:p>
    <w:p>
      <w:pPr>
        <w:spacing w:after="0" w:line="225"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Commencement Time</w:t>
      </w:r>
      <w:r>
        <w:rPr>
          <w:rFonts w:ascii="Times New Roman" w:cs="Times New Roman" w:eastAsia="Times New Roman" w:hAnsi="Times New Roman"/>
          <w:sz w:val="18"/>
          <w:szCs w:val="18"/>
          <w:color w:val="auto"/>
        </w:rPr>
        <w:t>” means, with respect to a VWAP Purchase made pursuant to Section 2.2, 9:30 a.m., New York City time, on the applicable VWAP Purchase Date, or such other time publicly announced by the Trading Market (or, if the Common Stock is then listed on an Eligible Market, by such Eligible Market) as the official open (or commencement) of trading on the Trading Market (or such Eligible Market, as applicable) on such applicable VWAP Purchase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Confirmation</w:t>
      </w:r>
      <w:r>
        <w:rPr>
          <w:rFonts w:ascii="Times New Roman" w:cs="Times New Roman" w:eastAsia="Times New Roman" w:hAnsi="Times New Roman"/>
          <w:sz w:val="18"/>
          <w:szCs w:val="18"/>
          <w:color w:val="auto"/>
        </w:rPr>
        <w:t>” shall have the meaning assigned to such term in Section 2.2 and shall be in the form attached hereto as Annex</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2.2B.</w:t>
      </w:r>
    </w:p>
    <w:p>
      <w:pPr>
        <w:spacing w:after="0" w:line="203"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Date</w:t>
      </w:r>
      <w:r>
        <w:rPr>
          <w:rFonts w:ascii="Times New Roman" w:cs="Times New Roman" w:eastAsia="Times New Roman" w:hAnsi="Times New Roman"/>
          <w:sz w:val="18"/>
          <w:szCs w:val="18"/>
          <w:color w:val="auto"/>
        </w:rPr>
        <w:t>” means, with respect to a VWAP Purchase made pursuant to Section 2.2, the Trading Day immediately following the applicable Fixed Purchase Date with respect to the corresponding Fixed Purchase referred to in clause (i) of the second sentence of Section 3.2, on which the Investor receives, concurrently with the receipt of the applicable Fixed Purchase Notice for such corresponding Fixed Purchase, after 4:00 p.m., New York City time, but prior to 5:30 p.m., New York City time, on such applicable Fixed Purchase Date, a valid VWAP Purchase Notice for such VWAP Purchase in accordance with this Agreement.</w:t>
      </w:r>
    </w:p>
    <w:p>
      <w:pPr>
        <w:spacing w:after="0" w:line="179"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Maximum Amount</w:t>
      </w:r>
      <w:r>
        <w:rPr>
          <w:rFonts w:ascii="Times New Roman" w:cs="Times New Roman" w:eastAsia="Times New Roman" w:hAnsi="Times New Roman"/>
          <w:sz w:val="18"/>
          <w:szCs w:val="18"/>
          <w:color w:val="auto"/>
        </w:rPr>
        <w:t>” means, with respect to a VWAP Purchase made pursuant to Section 2.2, a number of shares of Common Stock equal to the lesser of (i) $4,500,000 and (ii) 10% of the trading volume in the Company’s Common Stock on the Eligible Market during the applicable VWAP Purchase Period on the applicable VWAP Purchase Date.</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I-11</w:t>
      </w:r>
    </w:p>
    <w:p>
      <w:pPr>
        <w:sectPr>
          <w:pgSz w:w="11900" w:h="16838" w:orient="portrait"/>
          <w:cols w:equalWidth="0" w:num="1">
            <w:col w:w="10980"/>
          </w:cols>
          <w:pgMar w:left="440" w:top="270" w:right="479" w:bottom="1440" w:gutter="0" w:footer="0" w:header="0"/>
        </w:sectPr>
      </w:pPr>
    </w:p>
    <w:bookmarkStart w:id="117" w:name="page118"/>
    <w:bookmarkEnd w:id="117"/>
    <w:p>
      <w:pPr>
        <w:ind w:left="4" w:right="8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VWAP Purchase Notice</w:t>
      </w:r>
      <w:r>
        <w:rPr>
          <w:rFonts w:ascii="Times New Roman" w:cs="Times New Roman" w:eastAsia="Times New Roman" w:hAnsi="Times New Roman"/>
          <w:sz w:val="18"/>
          <w:szCs w:val="18"/>
          <w:color w:val="auto"/>
        </w:rPr>
        <w:t>” means, with respect to a VWAP Purchase made pursuant to Section 2.2, an irrevocable written notice delivered by the Company to the Investor (concurrently with the delivery of the applicable Fixed Purchase Notice by the Company to the Investor on the applicable Fixed Purchase Date with respect to the corresponding Fixed Purchase referred to in clause (i) of the second sentence of Section 2.2) directing the Investor to purchase a VWAP Purchase Share Amount (such specified VWAP Purchase Share Amount subject to adjustment as set forth in Section 3.2 as necessary to give effect to the VWAP Purchase Maximum Amount), at the applicable VWAP Purchase Price therefor on the applicable VWAP Purchase Date for such VWAP Purchase in accordance with this Agreement.</w:t>
      </w:r>
    </w:p>
    <w:p>
      <w:pPr>
        <w:spacing w:after="0" w:line="182" w:lineRule="exact"/>
        <w:rPr>
          <w:sz w:val="20"/>
          <w:szCs w:val="20"/>
          <w:color w:val="auto"/>
        </w:rPr>
      </w:pPr>
    </w:p>
    <w:p>
      <w:pPr>
        <w:ind w:left="4"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Period</w:t>
      </w:r>
      <w:r>
        <w:rPr>
          <w:rFonts w:ascii="Times New Roman" w:cs="Times New Roman" w:eastAsia="Times New Roman" w:hAnsi="Times New Roman"/>
          <w:sz w:val="18"/>
          <w:szCs w:val="18"/>
          <w:color w:val="auto"/>
        </w:rPr>
        <w:t>” means, with respect to a VWAP Purchase made pursuant to Section 2.2, the period on the applicable VWAP Purchase Date for such VWAP Purchase beginning at the applicable VWAP Purchase Commencement Time and ending at the applicable VWAP Purchase Termination Time.</w:t>
      </w:r>
    </w:p>
    <w:p>
      <w:pPr>
        <w:spacing w:after="0" w:line="171"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Price</w:t>
      </w:r>
      <w:r>
        <w:rPr>
          <w:rFonts w:ascii="Times New Roman" w:cs="Times New Roman" w:eastAsia="Times New Roman" w:hAnsi="Times New Roman"/>
          <w:sz w:val="18"/>
          <w:szCs w:val="18"/>
          <w:color w:val="auto"/>
        </w:rPr>
        <w:t>” means, with respect to a VWAP Purchase made pursuant to Section 2.2, the purchase price per Share to be purchased by the Investor in such VWAP Purchase equal to ninety five percent (95%) of the lowest of (i) the VWAP for the applicable VWAP Purchase Period during the applicable VWAP Purchase Date for such VWAP Purchase, (ii) the lowest traded price of the Common Stock during the five Trading Days immediately preceding the VWAP Purchase Date, and (iii) the Closing Sale Price of the Common Stock on such applicable VWAP Purchase Date for such VWAP Purchase (to be appropriately adjusted for any reorganization, recapitalization, non-cash dividend, stock split, reverse stock split or other similar transaction).</w:t>
      </w:r>
    </w:p>
    <w:p>
      <w:pPr>
        <w:spacing w:after="0" w:line="182"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Share Amount</w:t>
      </w:r>
      <w:r>
        <w:rPr>
          <w:rFonts w:ascii="Times New Roman" w:cs="Times New Roman" w:eastAsia="Times New Roman" w:hAnsi="Times New Roman"/>
          <w:sz w:val="18"/>
          <w:szCs w:val="18"/>
          <w:color w:val="auto"/>
        </w:rPr>
        <w:t>” means, with respect to a VWAP Purchase made pursuant to Section 2.2, the number of Shares to be purchased by the Investor in such VWAP Purchase as specified by the Company in the applicable VWAP Purchase Notice, which number of Shares shall not exceed the applicable VWAP Purchase Maximum Amount.</w:t>
      </w:r>
    </w:p>
    <w:p>
      <w:pPr>
        <w:spacing w:after="0" w:line="171" w:lineRule="exact"/>
        <w:rPr>
          <w:sz w:val="20"/>
          <w:szCs w:val="20"/>
          <w:color w:val="auto"/>
        </w:rPr>
      </w:pPr>
    </w:p>
    <w:p>
      <w:pPr>
        <w:ind w:left="4" w:right="1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Share Volume Maximum</w:t>
      </w:r>
      <w:r>
        <w:rPr>
          <w:rFonts w:ascii="Times New Roman" w:cs="Times New Roman" w:eastAsia="Times New Roman" w:hAnsi="Times New Roman"/>
          <w:sz w:val="18"/>
          <w:szCs w:val="18"/>
          <w:color w:val="auto"/>
        </w:rPr>
        <w:t>” means, with respect to a VWAP Purchase made pursuant to Section 2.2, a number of shares of Common Stock equal to (i) the number of Shares specified by the Company in the applicable VWAP Purchase Notice as the VWAP Purchase Share Amount to be purchased by the Investor in such VWAP Purchase, divided by (ii) (to be appropriately adjusted for any reorganization, recapitalization, non-cash dividend, stock split, reverse stock split or other similar transaction).</w:t>
      </w:r>
    </w:p>
    <w:p>
      <w:pPr>
        <w:spacing w:after="0" w:line="176" w:lineRule="exact"/>
        <w:rPr>
          <w:sz w:val="20"/>
          <w:szCs w:val="20"/>
          <w:color w:val="auto"/>
        </w:rPr>
      </w:pPr>
    </w:p>
    <w:p>
      <w:pPr>
        <w:ind w:left="4" w:right="2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VWAP Purchase Termination Time</w:t>
      </w:r>
      <w:r>
        <w:rPr>
          <w:rFonts w:ascii="Times New Roman" w:cs="Times New Roman" w:eastAsia="Times New Roman" w:hAnsi="Times New Roman"/>
          <w:sz w:val="17"/>
          <w:szCs w:val="17"/>
          <w:color w:val="auto"/>
        </w:rPr>
        <w:t>” means, with respect to a VWAP Purchase made pursuant to Section 2.2, the earliest of (i) 2:00 p.m., New York City time, on the applicable VWAP Purchase Date, or such other time publicly announced by the Trading Market (or, if the Common Stock is then listed on an Eligible Market, by such Eligible Market) as the official close of trading on the Trading Market on such applicable VWAP Purchase Date,</w:t>
      </w:r>
    </w:p>
    <w:p>
      <w:pPr>
        <w:spacing w:after="0" w:line="1" w:lineRule="exact"/>
        <w:rPr>
          <w:sz w:val="20"/>
          <w:szCs w:val="20"/>
          <w:color w:val="auto"/>
        </w:rPr>
      </w:pPr>
    </w:p>
    <w:p>
      <w:pPr>
        <w:ind w:left="4" w:right="40" w:hanging="4"/>
        <w:spacing w:after="0" w:line="253" w:lineRule="auto"/>
        <w:tabs>
          <w:tab w:leader="none" w:pos="26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from and after the VWAP Purchase Commencement Time for such VWAP Purchase, that the trading volume of shares of Common Stock traded on the Trading Market (or, if the Common Stock is then listed on an Eligible Market, on such Eligible Market) has exceeded the applicable VWAP Purchase Share Volume Maximum and (iii) such time, from and after the VWAP Purchase Commencement Time for such VWAP Purchase, that any sale price of the Common Stock traded on the Trading Market (or, if the Common Stock is then listed on an Eligible Market, on such Eligible Market) has fallen below the applicable Floor Price for such applicable VWAP Purchase.</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I-12</w:t>
      </w:r>
    </w:p>
    <w:p>
      <w:pPr>
        <w:sectPr>
          <w:pgSz w:w="11900" w:h="16838" w:orient="portrait"/>
          <w:cols w:equalWidth="0" w:num="1">
            <w:col w:w="10964"/>
          </w:cols>
          <w:pgMar w:left="436" w:top="266" w:right="49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TO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COMMON STOCK PURCHASE AGREEMENT</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FURNISHED SEPARATELY]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9019"/>
          </w:cols>
          <w:pgMar w:left="1440" w:top="266" w:right="1440"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 TO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PURCHASE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THE COMPANY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CLOSING CERTIFICATE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__, 2026</w:t>
      </w:r>
    </w:p>
    <w:p>
      <w:pPr>
        <w:spacing w:after="0" w:line="22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The undersigned, the [●] of Jaguar Health,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delivers this certificate in connection with the Common Stock Purchase Agreement, dated as of [●], 2026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between the Company and C/M Capital Partners, LP, a [ ] limited liability company (the “</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and hereby certifies on the date hereof that (capitalized terms used herein without definition have the meanings assigned to them in the Agreement):</w:t>
      </w:r>
    </w:p>
    <w:p>
      <w:pPr>
        <w:spacing w:after="0" w:line="176" w:lineRule="exact"/>
        <w:rPr>
          <w:sz w:val="20"/>
          <w:szCs w:val="20"/>
          <w:color w:val="auto"/>
        </w:rPr>
      </w:pPr>
    </w:p>
    <w:p>
      <w:pPr>
        <w:ind w:right="160" w:firstLine="436"/>
        <w:spacing w:after="0" w:line="259" w:lineRule="auto"/>
        <w:tabs>
          <w:tab w:leader="none" w:pos="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is a true, complete and correct copy of the Certificate of Incorporation of the Company, as amended through the date hereof, as filed with the State of Delaware. The Certificate of Incorporation of the Company has not been further amended or restated, and no document with respect to any amendment to the Certificate of Incorporation of the Company has been filed in the State of Delaware since the date shown on the face of the state certification relating to the Company’s Certificate of Incorporation, which is in full force and effect on the date hereof, and no action has been taken by the Company in contemplation of any such amendment or the dissolution, merger or consolidation of the Company.</w:t>
      </w:r>
    </w:p>
    <w:p>
      <w:pPr>
        <w:spacing w:after="0" w:line="179" w:lineRule="exact"/>
        <w:rPr>
          <w:rFonts w:ascii="Times New Roman" w:cs="Times New Roman" w:eastAsia="Times New Roman" w:hAnsi="Times New Roman"/>
          <w:sz w:val="18"/>
          <w:szCs w:val="18"/>
          <w:color w:val="auto"/>
        </w:rPr>
      </w:pPr>
    </w:p>
    <w:p>
      <w:pPr>
        <w:ind w:right="120" w:firstLine="436"/>
        <w:spacing w:after="0" w:line="268" w:lineRule="auto"/>
        <w:tabs>
          <w:tab w:leader="none" w:pos="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is a true and complete copy of the Bylaws of the Company, as amended and restated through, and as in full force and effect on, the date hereof, and no proposal for any amendment, repeal or other modification to the Bylaws of the Company has been taken or is currently pending before the Board of Directors or stockholders of the Company.</w:t>
      </w:r>
    </w:p>
    <w:p>
      <w:pPr>
        <w:spacing w:after="0" w:line="174" w:lineRule="exact"/>
        <w:rPr>
          <w:rFonts w:ascii="Times New Roman" w:cs="Times New Roman" w:eastAsia="Times New Roman" w:hAnsi="Times New Roman"/>
          <w:sz w:val="18"/>
          <w:szCs w:val="18"/>
          <w:color w:val="auto"/>
        </w:rPr>
      </w:pPr>
    </w:p>
    <w:p>
      <w:pPr>
        <w:ind w:right="80" w:firstLine="436"/>
        <w:spacing w:after="0" w:line="266" w:lineRule="auto"/>
        <w:tabs>
          <w:tab w:leader="none" w:pos="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of the Company has approved the transactions contemplated by the Transaction Documents; said approval has not been amended, rescinded or modified and remains in full force and effect as of the date hereof. Attached hereto as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are true, correct and complete copies of the resolutions duly adopted by the Board of Directors of the Company via unanimous written consent on [●], 2026.</w:t>
      </w:r>
    </w:p>
    <w:p>
      <w:pPr>
        <w:spacing w:after="0" w:line="175" w:lineRule="exact"/>
        <w:rPr>
          <w:rFonts w:ascii="Times New Roman" w:cs="Times New Roman" w:eastAsia="Times New Roman" w:hAnsi="Times New Roman"/>
          <w:sz w:val="18"/>
          <w:szCs w:val="18"/>
          <w:color w:val="auto"/>
        </w:rPr>
      </w:pPr>
    </w:p>
    <w:p>
      <w:pPr>
        <w:ind w:firstLine="436"/>
        <w:spacing w:after="0" w:line="266" w:lineRule="auto"/>
        <w:tabs>
          <w:tab w:leader="none" w:pos="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as an officer of the Company, or as attorney-in-fact of an officer of the Company, signed the Transaction Documents to which the Company is a party, was duly elected, qualified and acting as such officer or duly appointed and acting as such attorney-in-fact, and the signature of each such person appearing on any such document is his genuine signature.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have signed my name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311150</wp:posOffset>
            </wp:positionV>
            <wp:extent cx="27946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000"/>
          </w:cols>
          <w:pgMar w:left="440" w:top="266" w:right="459"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 TO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PURCHASE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COMPLIANCE CERTIFICATE</w:t>
      </w:r>
    </w:p>
    <w:p>
      <w:pPr>
        <w:spacing w:after="0" w:line="203"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The undersigned, the [●] of Jaguar Health,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delivers this certificate in connection with the Common Stock Purchase Agreement, dated as of [●], 2026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between the Company and C/M Capital Partners, LP, a [ ] limited liability company (the “</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and hereby certifies on the date hereof that, to the best of his knowledge after reasonable investigation, on behalf of the Company (capitalized terms used herein without definition have the meanings assigned to them in the Agreement):</w:t>
      </w:r>
    </w:p>
    <w:p>
      <w:pPr>
        <w:spacing w:after="0" w:line="180" w:lineRule="exact"/>
        <w:rPr>
          <w:sz w:val="20"/>
          <w:szCs w:val="20"/>
          <w:color w:val="auto"/>
        </w:rPr>
      </w:pPr>
    </w:p>
    <w:p>
      <w:pPr>
        <w:ind w:left="620" w:hanging="184"/>
        <w:spacing w:after="0"/>
        <w:tabs>
          <w:tab w:leader="none" w:pos="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duly appointed [●] of the Company.</w:t>
      </w:r>
    </w:p>
    <w:p>
      <w:pPr>
        <w:spacing w:after="0" w:line="225" w:lineRule="exact"/>
        <w:rPr>
          <w:rFonts w:ascii="Times New Roman" w:cs="Times New Roman" w:eastAsia="Times New Roman" w:hAnsi="Times New Roman"/>
          <w:sz w:val="18"/>
          <w:szCs w:val="18"/>
          <w:color w:val="auto"/>
        </w:rPr>
      </w:pPr>
    </w:p>
    <w:p>
      <w:pPr>
        <w:ind w:right="20" w:firstLine="436"/>
        <w:spacing w:after="0" w:line="255" w:lineRule="auto"/>
        <w:tabs>
          <w:tab w:leader="none" w:pos="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attached Disclosure Schedule, the representations and warranties of the Company set forth in Article IV of the Agreement (i) that are not qualified by “materiality” or “Material Adverse Effect” are true and correct in all material respects as of [the Commencement Date] [the date hereof] with the same force and effect as if made on [the Commencement Date] [the date hereof], except to the extent such representations and warranties are as of another date, in which case, such representations and warranties are true and correct in all material respects as of such other date and (ii) that are qualified by “materiality” or “Material Adverse Effect” are true and correct as of [the Commencement Date] [the date hereof] with the same force and effect as if made on [the Commencement Date] [the date hereof], except to the extent such representations and warranties are as of another date, in which case, such representations and warranties are true and correct as of such other date.</w:t>
      </w:r>
    </w:p>
    <w:p>
      <w:pPr>
        <w:spacing w:after="0" w:line="188" w:lineRule="exact"/>
        <w:rPr>
          <w:rFonts w:ascii="Times New Roman" w:cs="Times New Roman" w:eastAsia="Times New Roman" w:hAnsi="Times New Roman"/>
          <w:sz w:val="18"/>
          <w:szCs w:val="18"/>
          <w:color w:val="auto"/>
        </w:rPr>
      </w:pPr>
    </w:p>
    <w:p>
      <w:pPr>
        <w:ind w:right="140" w:firstLine="436"/>
        <w:spacing w:after="0" w:line="266" w:lineRule="auto"/>
        <w:tabs>
          <w:tab w:leader="none" w:pos="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has performed, satisfied and complied in all material respects with all covenants, agreements and conditions required by the Agreement and the Registration Rights Agreement to be performed, satisfied or complied with by the Company, respectively, [at or prior to Commencement][on or prior to the date hereof].</w:t>
      </w:r>
    </w:p>
    <w:p>
      <w:pPr>
        <w:spacing w:after="0" w:line="175" w:lineRule="exact"/>
        <w:rPr>
          <w:rFonts w:ascii="Times New Roman" w:cs="Times New Roman" w:eastAsia="Times New Roman" w:hAnsi="Times New Roman"/>
          <w:sz w:val="18"/>
          <w:szCs w:val="18"/>
          <w:color w:val="auto"/>
        </w:rPr>
      </w:pPr>
    </w:p>
    <w:p>
      <w:pPr>
        <w:ind w:right="220" w:firstLine="436"/>
        <w:spacing w:after="0" w:line="266" w:lineRule="auto"/>
        <w:tabs>
          <w:tab w:leader="none" w:pos="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issuable in respect of each Fixed Purchase Notice, each VWAP Purchase Notice, and each Additional VWAP Purchase Notice effected pursuant to the Agreement shall be delivered to the Investor electronically as DWAC Shares, and shall be freely tradable and transferable and without restriction on resale and without any stop transfer instructions maintained against such Shares.</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Commencement Date][the date hereof], the Company does not possess any material non-public information.</w:t>
      </w:r>
    </w:p>
    <w:p>
      <w:pPr>
        <w:spacing w:after="0" w:line="225" w:lineRule="exact"/>
        <w:rPr>
          <w:rFonts w:ascii="Times New Roman" w:cs="Times New Roman" w:eastAsia="Times New Roman" w:hAnsi="Times New Roman"/>
          <w:sz w:val="18"/>
          <w:szCs w:val="18"/>
          <w:color w:val="auto"/>
        </w:rPr>
      </w:pPr>
    </w:p>
    <w:p>
      <w:pPr>
        <w:ind w:right="160" w:firstLine="436"/>
        <w:spacing w:after="0" w:line="282" w:lineRule="auto"/>
        <w:tabs>
          <w:tab w:leader="none" w:pos="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Commencement Date][the date hereof], the Company has reserved out of its authorized and unissued Common Stock, [●] shares of Common Stock solely for the purpose of effecting Fixed Purchases, VWAP Purchases and Additional VWAP Purchases under the Agreement.</w:t>
      </w:r>
    </w:p>
    <w:p>
      <w:pPr>
        <w:spacing w:after="0" w:line="161" w:lineRule="exact"/>
        <w:rPr>
          <w:rFonts w:ascii="Times New Roman" w:cs="Times New Roman" w:eastAsia="Times New Roman" w:hAnsi="Times New Roman"/>
          <w:sz w:val="18"/>
          <w:szCs w:val="18"/>
          <w:color w:val="auto"/>
        </w:rPr>
      </w:pPr>
    </w:p>
    <w:p>
      <w:pPr>
        <w:ind w:right="180" w:firstLine="436"/>
        <w:spacing w:after="0" w:line="266" w:lineRule="auto"/>
        <w:tabs>
          <w:tab w:leader="none" w:pos="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or the use of the Prospectus under the Securities Act has been issued and no proceedings for such purpose or pursuant to Section 8A of the Securities Act are pending before or, to the Knowledge of the Company, threatened by the Commission.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has executed this Certificate this [●] day of [●], 2026.</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17145</wp:posOffset>
            </wp:positionV>
            <wp:extent cx="23145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17145</wp:posOffset>
            </wp:positionV>
            <wp:extent cx="23145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17145</wp:posOffset>
            </wp:positionV>
            <wp:extent cx="23145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000"/>
          </w:cols>
          <w:pgMar w:left="440" w:top="266" w:right="459" w:bottom="1440" w:gutter="0" w:footer="0" w:header="0"/>
        </w:sectPr>
      </w:pPr>
    </w:p>
    <w:bookmarkStart w:id="121" w:name="page122"/>
    <w:bookmarkEnd w:id="12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DISCLOSURE SCHEDULES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RELATING TO THE COMMON STOCK</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PURCHASE AGREEMENT, DATED AS OF [•], 2026</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BY AND AMONG JAGUAR HEALTH, INC. AND C/M CAPITAL PARTNERS, LP</w:t>
      </w:r>
    </w:p>
    <w:p>
      <w:pPr>
        <w:spacing w:after="0" w:line="20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disclosure schedules are made and given pursuant to Article IV of the Common Stock Purchase Agreement, dated as of June 9, 2026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between Jaguar Health,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C/M Capital Partners, LP, a [ ] limited liability company (the “</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Unless the context otherwise requires, all capitalized terms are used herein as defined in the Agreement. The numbers below correspond to the section numbers of representations and warranties in the Agreement most directly modified by the below exceptions.</w:t>
      </w:r>
    </w:p>
    <w:p>
      <w:pPr>
        <w:sectPr>
          <w:pgSz w:w="11900" w:h="16838" w:orient="portrait"/>
          <w:cols w:equalWidth="0" w:num="1">
            <w:col w:w="10900"/>
          </w:cols>
          <w:pgMar w:left="440" w:top="266" w:right="559" w:bottom="1440" w:gutter="0" w:footer="0" w:header="0"/>
        </w:sectPr>
      </w:pPr>
    </w:p>
    <w:bookmarkStart w:id="122" w:name="page123"/>
    <w:bookmarkEnd w:id="122"/>
    <w:p>
      <w:pPr>
        <w:ind w:left="4780" w:hanging="184"/>
        <w:spacing w:after="0"/>
        <w:tabs>
          <w:tab w:leader="none" w:pos="47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2.1 TO THE</w:t>
      </w:r>
    </w:p>
    <w:p>
      <w:pPr>
        <w:spacing w:after="0" w:line="31" w:lineRule="exact"/>
        <w:rPr>
          <w:rFonts w:ascii="Times New Roman" w:cs="Times New Roman" w:eastAsia="Times New Roman" w:hAnsi="Times New Roman"/>
          <w:sz w:val="18"/>
          <w:szCs w:val="18"/>
          <w:color w:val="auto"/>
        </w:rPr>
      </w:pPr>
    </w:p>
    <w:p>
      <w:pPr>
        <w:ind w:left="2040" w:hanging="173"/>
        <w:spacing w:after="0"/>
        <w:tabs>
          <w:tab w:leader="none" w:pos="20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COMMON STOCK PURCHASE AGREEMENT FORM OF FIXED PURCHASE NOTICE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17145</wp:posOffset>
            </wp:positionV>
            <wp:extent cx="18173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17145</wp:posOffset>
            </wp:positionV>
            <wp:extent cx="18173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3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Reference is made to the Common Stock Purchase Agreement dated as of [_] 2026,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between Jaguar Health,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C/M Capital Partners, LP, a [ ] limited liability company. Capitalized terms used and not otherwise defined herein shall have the meanings given such terms in the Purchase Agreement.</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In accordance with and pursuant to Section 2.1 of the Purchase Agreement, the Company hereby issues this Fixed Purchase Notice to exercise a Fixed Purchase for the Fixed Purchase Share Amount indicated below.</w:t>
      </w:r>
    </w:p>
    <w:p>
      <w:pPr>
        <w:spacing w:after="0" w:line="2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Fixed Purchase Share Amount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17145</wp:posOffset>
            </wp:positionV>
            <wp:extent cx="38919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Fixed Purchase Exercise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17145</wp:posOffset>
            </wp:positionV>
            <wp:extent cx="38919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Fixed Purchase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17145</wp:posOffset>
            </wp:positionV>
            <wp:extent cx="38919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Aggregate Fixed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17145</wp:posOffset>
            </wp:positionV>
            <wp:extent cx="389191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91915" cy="8890"/>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Fixed Purchase Share Delivery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17145</wp:posOffset>
            </wp:positionV>
            <wp:extent cx="38919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Fixed Purchase 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17145</wp:posOffset>
            </wp:positionV>
            <wp:extent cx="38919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Dollar Amount of Common Stock Currently Available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the Aggregate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-10795</wp:posOffset>
            </wp:positionV>
            <wp:extent cx="38919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214" w:lineRule="exact"/>
        <w:rPr>
          <w:sz w:val="20"/>
          <w:szCs w:val="20"/>
          <w:color w:val="auto"/>
        </w:rPr>
      </w:pPr>
    </w:p>
    <w:p>
      <w:pPr>
        <w:ind w:left="440"/>
        <w:spacing w:after="0"/>
        <w:tabs>
          <w:tab w:leader="none" w:pos="75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Jaguar Health,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17145</wp:posOffset>
            </wp:positionV>
            <wp:extent cx="20142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3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5046345</wp:posOffset>
            </wp:positionH>
            <wp:positionV relativeFrom="paragraph">
              <wp:posOffset>17145</wp:posOffset>
            </wp:positionV>
            <wp:extent cx="194564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Email</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 CAPITAL PARTNERS, 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20"/>
          </w:cols>
          <w:pgMar w:left="440" w:top="266" w:right="539" w:bottom="1440" w:gutter="0" w:footer="0" w:header="0"/>
        </w:sectPr>
      </w:pPr>
    </w:p>
    <w:bookmarkStart w:id="123" w:name="page124"/>
    <w:bookmarkEnd w:id="123"/>
    <w:p>
      <w:pPr>
        <w:ind w:left="4780" w:hanging="184"/>
        <w:spacing w:after="0"/>
        <w:tabs>
          <w:tab w:leader="none" w:pos="47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2.2 TO THE</w:t>
      </w:r>
    </w:p>
    <w:p>
      <w:pPr>
        <w:spacing w:after="0" w:line="31" w:lineRule="exact"/>
        <w:rPr>
          <w:rFonts w:ascii="Times New Roman" w:cs="Times New Roman" w:eastAsia="Times New Roman" w:hAnsi="Times New Roman"/>
          <w:sz w:val="18"/>
          <w:szCs w:val="18"/>
          <w:color w:val="auto"/>
        </w:rPr>
      </w:pPr>
    </w:p>
    <w:p>
      <w:pPr>
        <w:ind w:left="2060" w:hanging="178"/>
        <w:spacing w:after="0"/>
        <w:tabs>
          <w:tab w:leader="none" w:pos="20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COMMON STOCK PURCHASE AGREEMENT FORM OF VWAP PURCHASE NOTICE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17145</wp:posOffset>
            </wp:positionV>
            <wp:extent cx="18173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17145</wp:posOffset>
            </wp:positionV>
            <wp:extent cx="18173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3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Reference is made to the Common Stock Purchase Agreement dated as of [__], 2026,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between Jaguar Health,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C/M Capital Partners, LP, a [ ] limited liability company. Capitalized terms used and not otherwise defined herein shall have the meanings given such terms in the Purchase Agreement.</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In accordance with and pursuant to Section 2.2 of the Purchase Agreement, the Company hereby issues this VWAP Purchase Notice to exercise a VWAP Purchase for the VWAP Purchase Share Amount indicated below.</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VWAP Purchase Share Amount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VWAP Purchase Exercise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VWAP Purchase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VWAP Purchase Share Delivery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VWAP Purchase 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Dollar Amount of Common Stock Currently Available under the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Aggregate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-10795</wp:posOffset>
            </wp:positionV>
            <wp:extent cx="32829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14" w:lineRule="exact"/>
        <w:rPr>
          <w:sz w:val="20"/>
          <w:szCs w:val="20"/>
          <w:color w:val="auto"/>
        </w:rPr>
      </w:pPr>
    </w:p>
    <w:p>
      <w:pPr>
        <w:ind w:left="440"/>
        <w:spacing w:after="0"/>
        <w:tabs>
          <w:tab w:leader="none" w:pos="75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Jaguar Health,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17145</wp:posOffset>
            </wp:positionV>
            <wp:extent cx="20142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3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5046345</wp:posOffset>
            </wp:positionH>
            <wp:positionV relativeFrom="paragraph">
              <wp:posOffset>17145</wp:posOffset>
            </wp:positionV>
            <wp:extent cx="19456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Email:</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 CAPITAL PARTNERS, 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20"/>
          </w:cols>
          <w:pgMar w:left="440" w:top="266" w:right="539" w:bottom="1440" w:gutter="0" w:footer="0" w:header="0"/>
        </w:sectPr>
      </w:pPr>
    </w:p>
    <w:bookmarkStart w:id="124" w:name="page125"/>
    <w:bookmarkEnd w:id="124"/>
    <w:p>
      <w:pPr>
        <w:ind w:left="4720" w:hanging="184"/>
        <w:spacing w:after="0"/>
        <w:tabs>
          <w:tab w:leader="none" w:pos="47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2.2B TO THE</w:t>
      </w:r>
    </w:p>
    <w:p>
      <w:pPr>
        <w:spacing w:after="0" w:line="31" w:lineRule="exact"/>
        <w:rPr>
          <w:rFonts w:ascii="Times New Roman" w:cs="Times New Roman" w:eastAsia="Times New Roman" w:hAnsi="Times New Roman"/>
          <w:sz w:val="18"/>
          <w:szCs w:val="18"/>
          <w:color w:val="auto"/>
        </w:rPr>
      </w:pPr>
    </w:p>
    <w:p>
      <w:pPr>
        <w:ind w:left="1680" w:hanging="171"/>
        <w:spacing w:after="0"/>
        <w:tabs>
          <w:tab w:leader="none" w:pos="16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COMMON STOCK PURCHASE AGREEMENT FORM OF VWAP PURCHASE CONFIRMATION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17145</wp:posOffset>
            </wp:positionV>
            <wp:extent cx="18173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17145</wp:posOffset>
            </wp:positionV>
            <wp:extent cx="18173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3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Reference is made to the Common Stock Purchase Agreement dated as of [_], 2026,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between Jaguar Health,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C/M Capital Partners, LP, a [ ] limited liability company. Capitalized terms used and not otherwise defined herein shall have the meanings given such terms in the Purchase Agreement.</w:t>
      </w:r>
    </w:p>
    <w:p>
      <w:pPr>
        <w:spacing w:after="0" w:line="17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In accordance with and pursuant to Section 2.2 of the Purchase Agreement, the Investor hereby issues this VWAP Purchase Confirmation for the VWAP Purchase Share Amount indicated below.</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VWAP Purchase Share Amount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17145</wp:posOffset>
            </wp:positionV>
            <wp:extent cx="415734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157345" cy="8890"/>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VWAP Purchase Exercise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17145</wp:posOffset>
            </wp:positionV>
            <wp:extent cx="41573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VWAP Purchase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17145</wp:posOffset>
            </wp:positionV>
            <wp:extent cx="41573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VWAP Purchase Commencement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17145</wp:posOffset>
            </wp:positionV>
            <wp:extent cx="41573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VWAP Purchase Termination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17145</wp:posOffset>
            </wp:positionV>
            <wp:extent cx="41573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VWAP during the VWAP Purchase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17145</wp:posOffset>
            </wp:positionV>
            <wp:extent cx="415734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Closing Sale Price on the VWAP Purchase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17145</wp:posOffset>
            </wp:positionV>
            <wp:extent cx="415734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157345" cy="8890"/>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VWAP Purchase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17145</wp:posOffset>
            </wp:positionV>
            <wp:extent cx="41573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Aggregate VWAP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17145</wp:posOffset>
            </wp:positionV>
            <wp:extent cx="41573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VWAP Purchase Share Delivery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17145</wp:posOffset>
            </wp:positionV>
            <wp:extent cx="41573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VWAP Purchase 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17145</wp:posOffset>
            </wp:positionV>
            <wp:extent cx="41573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259" w:lineRule="exact"/>
        <w:rPr>
          <w:sz w:val="20"/>
          <w:szCs w:val="20"/>
          <w:color w:val="auto"/>
        </w:rPr>
      </w:pPr>
    </w:p>
    <w:p>
      <w:pPr>
        <w:ind w:left="440"/>
        <w:spacing w:after="0"/>
        <w:tabs>
          <w:tab w:leader="none" w:pos="75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C/M CAPITAL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17145</wp:posOffset>
            </wp:positionV>
            <wp:extent cx="20142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23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5046345</wp:posOffset>
            </wp:positionH>
            <wp:positionV relativeFrom="paragraph">
              <wp:posOffset>17145</wp:posOffset>
            </wp:positionV>
            <wp:extent cx="194564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Email:</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Jaguar Health,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20"/>
          </w:cols>
          <w:pgMar w:left="440" w:top="266" w:right="539" w:bottom="1440" w:gutter="0" w:footer="0" w:header="0"/>
        </w:sectPr>
      </w:pPr>
    </w:p>
    <w:bookmarkStart w:id="125" w:name="page126"/>
    <w:bookmarkEnd w:id="125"/>
    <w:p>
      <w:pPr>
        <w:ind w:left="4780" w:hanging="184"/>
        <w:spacing w:after="0"/>
        <w:tabs>
          <w:tab w:leader="none" w:pos="4780" w:val="left"/>
        </w:tabs>
        <w:numPr>
          <w:ilvl w:val="1"/>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2.3 TO THE</w:t>
      </w:r>
    </w:p>
    <w:p>
      <w:pPr>
        <w:spacing w:after="0" w:line="225" w:lineRule="exact"/>
        <w:rPr>
          <w:rFonts w:ascii="Times New Roman" w:cs="Times New Roman" w:eastAsia="Times New Roman" w:hAnsi="Times New Roman"/>
          <w:sz w:val="18"/>
          <w:szCs w:val="18"/>
          <w:b w:val="1"/>
          <w:bCs w:val="1"/>
          <w:color w:val="auto"/>
        </w:rPr>
      </w:pPr>
    </w:p>
    <w:p>
      <w:pPr>
        <w:ind w:left="1460" w:hanging="186"/>
        <w:spacing w:after="0"/>
        <w:tabs>
          <w:tab w:leader="none" w:pos="14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 PURCHASE AGREEMENT FORM OF ADDITIONAL VWAP PURCHASE NOTICE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17145</wp:posOffset>
            </wp:positionV>
            <wp:extent cx="18173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17145</wp:posOffset>
            </wp:positionV>
            <wp:extent cx="18173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3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Reference is made to the Common Stock Purchase Agreement dated as of [_], 2026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between Jaguar Health,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C/M Capital Partners, LP, a [ ] limited liability company. Capitalized terms used and not otherwise defined herein shall have the meanings given such terms in the Purchase Agreement.</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In accordance with and pursuant to Section 2.3 of the Purchase Agreement, the Company hereby issues this Additional VWAP Purchase Notice to exercise an Additional VWAP Purchase for the Additional VWAP Purchase Share Amount indicated below.</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Additional VWAP Purchase Share Amount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Additional VWAP Purchase Date (indicate whether this is for the first,</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second, third, etc. Additional VWAP exercised by the Company on such</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Additional VWAP Purchase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-10795</wp:posOffset>
            </wp:positionV>
            <wp:extent cx="328295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Additional VWAP Purchase Share Delivery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Additional VWAP Purchase 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Dollar Amount of Common Stock Currently Available under the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Aggregate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-10795</wp:posOffset>
            </wp:positionV>
            <wp:extent cx="328295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14" w:lineRule="exact"/>
        <w:rPr>
          <w:sz w:val="20"/>
          <w:szCs w:val="20"/>
          <w:color w:val="auto"/>
        </w:rPr>
      </w:pPr>
    </w:p>
    <w:p>
      <w:pPr>
        <w:ind w:left="440"/>
        <w:spacing w:after="0"/>
        <w:tabs>
          <w:tab w:leader="none" w:pos="75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Jaguar Health,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17145</wp:posOffset>
            </wp:positionV>
            <wp:extent cx="20142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3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5046345</wp:posOffset>
            </wp:positionH>
            <wp:positionV relativeFrom="paragraph">
              <wp:posOffset>17145</wp:posOffset>
            </wp:positionV>
            <wp:extent cx="194564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Email:</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 CAPITAL PARTNERS, 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60"/>
          </w:cols>
          <w:pgMar w:left="440" w:top="266" w:right="499" w:bottom="1440" w:gutter="0" w:footer="0" w:header="0"/>
        </w:sectPr>
      </w:pPr>
    </w:p>
    <w:bookmarkStart w:id="126" w:name="page127"/>
    <w:bookmarkEnd w:id="12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2.3B TO THE</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COMMON STOCK PURCHASE AGREEMENT</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OF ADDITIONAL VWAP PURCHASE CONFIRMATION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17145</wp:posOffset>
            </wp:positionV>
            <wp:extent cx="18173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17145</wp:posOffset>
            </wp:positionV>
            <wp:extent cx="18173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3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Reference is made to the Common Stock Purchase Agreement dated as of [ ], 2026,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between Jaguar Health,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C/M Capital Partners, LP, a [ ] limited liability company. Capitalized terms used and not otherwise defined herein shall have the meanings given such terms in the Purchase Agreement.</w:t>
      </w:r>
    </w:p>
    <w:p>
      <w:pPr>
        <w:spacing w:after="0" w:line="176" w:lineRule="exact"/>
        <w:rPr>
          <w:sz w:val="20"/>
          <w:szCs w:val="20"/>
          <w:color w:val="auto"/>
        </w:rPr>
      </w:pPr>
    </w:p>
    <w:p>
      <w:pPr>
        <w:ind w:right="780" w:firstLine="440"/>
        <w:spacing w:after="0" w:line="282" w:lineRule="auto"/>
        <w:rPr>
          <w:sz w:val="20"/>
          <w:szCs w:val="20"/>
          <w:color w:val="auto"/>
        </w:rPr>
      </w:pPr>
      <w:r>
        <w:rPr>
          <w:rFonts w:ascii="Times New Roman" w:cs="Times New Roman" w:eastAsia="Times New Roman" w:hAnsi="Times New Roman"/>
          <w:sz w:val="18"/>
          <w:szCs w:val="18"/>
          <w:color w:val="auto"/>
        </w:rPr>
        <w:t>In accordance with and pursuant to Section 2.3 of the Purchase Agreement, the Investor hereby issues this Additional VWAP Purchase Confirmation for the Additional VWAP Purchase Share Amount indicated below.</w:t>
      </w:r>
    </w:p>
    <w:p>
      <w:pPr>
        <w:sectPr>
          <w:pgSz w:w="11900" w:h="16838" w:orient="portrait"/>
          <w:cols w:equalWidth="0" w:num="1">
            <w:col w:w="10920"/>
          </w:cols>
          <w:pgMar w:left="440" w:top="266" w:right="539" w:bottom="1440" w:gutter="0" w:footer="0" w:header="0"/>
        </w:sectPr>
      </w:pP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Additional VWAP Purchase Share Amount (number of Shares):</w:t>
      </w:r>
    </w:p>
    <w:p>
      <w:pPr>
        <w:spacing w:after="0" w:line="144" w:lineRule="exact"/>
        <w:rPr>
          <w:sz w:val="20"/>
          <w:szCs w:val="20"/>
          <w:color w:val="auto"/>
        </w:rPr>
      </w:pPr>
    </w:p>
    <w:p>
      <w:pPr>
        <w:ind w:left="440" w:right="1180"/>
        <w:spacing w:after="0" w:line="266" w:lineRule="auto"/>
        <w:rPr>
          <w:sz w:val="20"/>
          <w:szCs w:val="20"/>
          <w:color w:val="auto"/>
        </w:rPr>
      </w:pPr>
      <w:r>
        <w:rPr>
          <w:rFonts w:ascii="Times New Roman" w:cs="Times New Roman" w:eastAsia="Times New Roman" w:hAnsi="Times New Roman"/>
          <w:sz w:val="18"/>
          <w:szCs w:val="18"/>
          <w:color w:val="auto"/>
        </w:rPr>
        <w:t>Additional VWAP Purchase Date (indicate whether this is for the first, second, third, etc. Additional VWAP exercised by the Company on such Additional VWAP Purchase Date):</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Additional VWAP Purchase Commencement Time:</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Additional VWAP Purchase Termination Time:</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VWAP during the Additional VWAP Purchase Period:</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Closing Sale Price on the Additional VWAP Purchase Date:</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Additional VWAP Purchase Price (per Share):</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Aggregate Additional VWAP Purchase Price:</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Additional VWAP Purchase Share Delivery Date:</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Additional VWAP Purchase Settlement Date:</w:t>
      </w:r>
    </w:p>
    <w:p>
      <w:pPr>
        <w:spacing w:after="0" w:line="2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17145</wp:posOffset>
            </wp:positionV>
            <wp:extent cx="20142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Jaguar Health,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C/M CAPITAL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-1078230</wp:posOffset>
            </wp:positionH>
            <wp:positionV relativeFrom="paragraph">
              <wp:posOffset>-2546350</wp:posOffset>
            </wp:positionV>
            <wp:extent cx="32829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-1078230</wp:posOffset>
            </wp:positionH>
            <wp:positionV relativeFrom="paragraph">
              <wp:posOffset>-2066290</wp:posOffset>
            </wp:positionV>
            <wp:extent cx="328295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-1078230</wp:posOffset>
            </wp:positionH>
            <wp:positionV relativeFrom="paragraph">
              <wp:posOffset>-1843405</wp:posOffset>
            </wp:positionV>
            <wp:extent cx="328295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-1078230</wp:posOffset>
            </wp:positionH>
            <wp:positionV relativeFrom="paragraph">
              <wp:posOffset>-1620520</wp:posOffset>
            </wp:positionV>
            <wp:extent cx="328295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-1078230</wp:posOffset>
            </wp:positionH>
            <wp:positionV relativeFrom="paragraph">
              <wp:posOffset>-1397635</wp:posOffset>
            </wp:positionV>
            <wp:extent cx="328295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-1078230</wp:posOffset>
            </wp:positionH>
            <wp:positionV relativeFrom="paragraph">
              <wp:posOffset>-1174750</wp:posOffset>
            </wp:positionV>
            <wp:extent cx="328295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282950" cy="8890"/>
                    </a:xfrm>
                    <a:prstGeom prst="rect">
                      <a:avLst/>
                    </a:prstGeom>
                    <a:noFill/>
                  </pic:spPr>
                </pic:pic>
              </a:graphicData>
            </a:graphic>
          </wp:anchor>
        </w:drawing>
        <w:drawing>
          <wp:anchor simplePos="0" relativeHeight="251657728" behindDoc="1" locked="0" layoutInCell="0" allowOverlap="1">
            <wp:simplePos x="0" y="0"/>
            <wp:positionH relativeFrom="column">
              <wp:posOffset>-1078230</wp:posOffset>
            </wp:positionH>
            <wp:positionV relativeFrom="paragraph">
              <wp:posOffset>-951865</wp:posOffset>
            </wp:positionV>
            <wp:extent cx="328295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-1078230</wp:posOffset>
            </wp:positionH>
            <wp:positionV relativeFrom="paragraph">
              <wp:posOffset>-728980</wp:posOffset>
            </wp:positionV>
            <wp:extent cx="328295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-1078230</wp:posOffset>
            </wp:positionH>
            <wp:positionV relativeFrom="paragraph">
              <wp:posOffset>-506095</wp:posOffset>
            </wp:positionV>
            <wp:extent cx="328295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-1078230</wp:posOffset>
            </wp:positionH>
            <wp:positionV relativeFrom="paragraph">
              <wp:posOffset>-283210</wp:posOffset>
            </wp:positionV>
            <wp:extent cx="328295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17145</wp:posOffset>
            </wp:positionV>
            <wp:extent cx="194564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ectPr>
          <w:pgSz w:w="11900" w:h="16838" w:orient="portrait"/>
          <w:cols w:equalWidth="0" w:num="2">
            <w:col w:w="6820" w:space="720"/>
            <w:col w:w="3380"/>
          </w:cols>
          <w:pgMar w:left="440" w:top="266" w:right="539" w:bottom="1440" w:gutter="0" w:footer="0" w:header="0"/>
          <w:type w:val="continuous"/>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REGISTRATION RIGHTS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June 9, 2026 (the “</w:t>
      </w:r>
      <w:r>
        <w:rPr>
          <w:rFonts w:ascii="Times New Roman" w:cs="Times New Roman" w:eastAsia="Times New Roman" w:hAnsi="Times New Roman"/>
          <w:sz w:val="18"/>
          <w:szCs w:val="18"/>
          <w:u w:val="single" w:color="auto"/>
          <w:color w:val="auto"/>
        </w:rPr>
        <w:t>Execution Date</w:t>
      </w:r>
      <w:r>
        <w:rPr>
          <w:rFonts w:ascii="Times New Roman" w:cs="Times New Roman" w:eastAsia="Times New Roman" w:hAnsi="Times New Roman"/>
          <w:sz w:val="18"/>
          <w:szCs w:val="18"/>
          <w:color w:val="auto"/>
        </w:rPr>
        <w:t>”), is entered into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Jaguar Health,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accredited investor named on the signature page to this Agreement (the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Capitalized terms used herein and not otherwise defined herein shall have the respective meanings set forth in the Common Stock Purchase Agreement, dated as of the date hereof, by and between the parties hereto, dated as of the Execution Date (as amended, restated, supplemented or otherwise modified from time to time,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A. The Company and the Buyer have entered into the Purchase Agreement, pursuant to which the Company may issue to the Buyer, from time to time, up to the lesser of (a) $40,000,000 and (b) 19.99% of the Company’s outstanding common stock, par value $0.0001 per share (the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as of the date of this Agreement, unless shareholder approval is obtained to issue more than such 19.99%; and</w:t>
      </w:r>
    </w:p>
    <w:p>
      <w:pPr>
        <w:spacing w:after="0" w:line="176"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B. To induce the Buyer to enter into the Purchase Agreement, the Company has agreed to provide certain registration rights under the Securities Act of 1933, as amended, and the rules and regulations thereunder, or any similar successor statute (collectively,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applicable state securities laws.</w:t>
      </w:r>
    </w:p>
    <w:p>
      <w:pPr>
        <w:spacing w:after="0" w:line="172" w:lineRule="exact"/>
        <w:rPr>
          <w:sz w:val="20"/>
          <w:szCs w:val="20"/>
          <w:color w:val="auto"/>
        </w:rPr>
      </w:pPr>
    </w:p>
    <w:p>
      <w:pPr>
        <w:ind w:right="28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NOW, THEREFORE, </w:t>
      </w:r>
      <w:r>
        <w:rPr>
          <w:rFonts w:ascii="Times New Roman" w:cs="Times New Roman" w:eastAsia="Times New Roman" w:hAnsi="Times New Roman"/>
          <w:sz w:val="17"/>
          <w:szCs w:val="17"/>
          <w:color w:val="auto"/>
        </w:rPr>
        <w:t>in consideration of the promises and the mutual covenants contained herein and other good and valuable consideration,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receipt and sufficiency of which are hereby acknowledged, the Company and the Buyer hereby, intending to be legally bound, agree as follows:</w:t>
      </w:r>
    </w:p>
    <w:p>
      <w:pPr>
        <w:spacing w:after="0" w:line="136" w:lineRule="exact"/>
        <w:rPr>
          <w:sz w:val="20"/>
          <w:szCs w:val="20"/>
          <w:color w:val="auto"/>
        </w:rPr>
      </w:pPr>
    </w:p>
    <w:p>
      <w:pPr>
        <w:ind w:left="620" w:hanging="184"/>
        <w:spacing w:after="0"/>
        <w:tabs>
          <w:tab w:leader="none" w:pos="6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Capitalized terms used herein and not otherwise defined herein shall have the respective meanings set forth in the Purchase Agreement. As used in this Agreement, the following terms shall have the following meanings:</w:t>
      </w:r>
    </w:p>
    <w:p>
      <w:pPr>
        <w:spacing w:after="0" w:line="162" w:lineRule="exact"/>
        <w:rPr>
          <w:sz w:val="20"/>
          <w:szCs w:val="20"/>
          <w:color w:val="auto"/>
        </w:rPr>
      </w:pPr>
    </w:p>
    <w:p>
      <w:pPr>
        <w:ind w:right="60" w:firstLine="991"/>
        <w:spacing w:after="0" w:line="289"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Investor</w:t>
      </w:r>
      <w:r>
        <w:rPr>
          <w:rFonts w:ascii="Times New Roman" w:cs="Times New Roman" w:eastAsia="Times New Roman" w:hAnsi="Times New Roman"/>
          <w:sz w:val="17"/>
          <w:szCs w:val="17"/>
          <w:color w:val="auto"/>
        </w:rPr>
        <w:t xml:space="preserve">” means the Buyer, any transferee or assignee thereof to whom the Buyer assigns its rights under this Agreement in accordance with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and who agrees to become bound by the provisions of this Agreement, and any transferee or assignee thereof to whom a transferee or assignee assigns its rights under this Agreement in accordance with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and who agrees to become bound by the provisions of this Agreement.</w:t>
      </w:r>
    </w:p>
    <w:p>
      <w:pPr>
        <w:spacing w:after="0" w:line="158"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or entity including but not limited to any corporation, a limited liability company, an association, a partnership, an organization, a business, an individual, a governmental or political subdivision thereof or a governmental agency.</w:t>
      </w:r>
    </w:p>
    <w:p>
      <w:pPr>
        <w:spacing w:after="0" w:line="162"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refer to a registration effected by preparing and filing one or more Registration Statements of the Company in compliance with the Securities Act and pursuant to Rule 415 under the Securities Act or any successor rule providing for offering securities on a continuous basis (“</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and the declaration or ordering of effectiveness of such Registration Statement(s) by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128" w:name="page129"/>
    <w:bookmarkEnd w:id="128"/>
    <w:p>
      <w:pPr>
        <w:ind w:right="28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all of (i) the Shares, (ii) the Commitment Shares, as fully earned as of the date hereof and (iii) any securities of the Company issued or issuable with respect to such Shares or Commitment Shares, including, without limitation, (1) as a result of any stock split, stock dividend, recapitalization, exchange or similar event or otherwise and (2) shares of capital stock of the Company into which the Common Stock are converted or exchanged and shares of a successor entity into which the Common Stock are converted or exchanged, in each case until such time as such securities cease to be Registrable Securities pursuant hereto.</w:t>
      </w:r>
    </w:p>
    <w:p>
      <w:pPr>
        <w:spacing w:after="0" w:line="183"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one or more registration statements of the Company covering only the resale of the Registrable Securities, including, for the avoidance of doubt, any New Registration Statement (as defined below).</w:t>
      </w:r>
    </w:p>
    <w:p>
      <w:pPr>
        <w:spacing w:after="0" w:line="162" w:lineRule="exact"/>
        <w:rPr>
          <w:sz w:val="20"/>
          <w:szCs w:val="20"/>
          <w:color w:val="auto"/>
        </w:rPr>
      </w:pPr>
    </w:p>
    <w:p>
      <w:pPr>
        <w:ind w:left="620" w:hanging="184"/>
        <w:spacing w:after="0"/>
        <w:tabs>
          <w:tab w:leader="none" w:pos="6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987"/>
        <w:spacing w:after="0" w:line="251" w:lineRule="auto"/>
        <w:tabs>
          <w:tab w:leader="none" w:pos="116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Registration.</w:t>
      </w:r>
      <w:r>
        <w:rPr>
          <w:rFonts w:ascii="Times New Roman" w:cs="Times New Roman" w:eastAsia="Times New Roman" w:hAnsi="Times New Roman"/>
          <w:sz w:val="18"/>
          <w:szCs w:val="18"/>
          <w:color w:val="auto"/>
        </w:rPr>
        <w:t xml:space="preserve"> The Company shall, within thirty (30) calendar days after the Execution Date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file with the SEC an initial Registration Statement on Form S-1 covering the maximum number of Registrable Securities as shall be permitted to be included thereon in accordance with applicable SEC rules, regulations and interpretations so as to permit the resale of such Registrable Securities by the Investor under Rule 415 under the Securities Act at then-prevailing market prices (and not fixed prices), as mutually determined by both the Company and the Investor in consultation with their respective legal counsel; provided, however, the Company may delay filing or suspend the use of any Registration Statement if the Company determines upon advice of legal counsel, that in order for the registration statement to not contain a material misstatement or omission, an amendment thereto would be needed, or if the board of directors of the Company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upon advice of legal counsel, reasonably believes that such filing or use would require premature disclosure of information that could materially adversely affect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in the event the Investor owns Shares or Commitment Shares at the time of any such suspension of use of the registration statement, the Company shall use commercially reasonable efforts to make such registration statement available for the resale of such securities by the Investor as soon as practicable thereafter. The initial Registration Statement shall register only Registrable Securities. The Investor and its counsel shall have a reasonable opportunity to review and comment upon such Registration Statement and any amendment or supplement to such Registration Statement and any related prospectus prior to its filing with the SEC, and the Company shall give due consideration to all such comments. The Investor acknowledges that it will be identified in the initial Registration Statement (and in any New Registration Statement) as an underwriter within the meaning of Section 2(a)(11) of the Securities Act, and the Investor shall furnish all information reasonably requested by the Company for inclusion therein. The Company shall use its commercially reasonable efforts to have the Registration Statement and any amendment declared effective by the SEC at the earliest practicable date (the “</w:t>
      </w:r>
      <w:r>
        <w:rPr>
          <w:rFonts w:ascii="Times New Roman" w:cs="Times New Roman" w:eastAsia="Times New Roman" w:hAnsi="Times New Roman"/>
          <w:sz w:val="18"/>
          <w:szCs w:val="18"/>
          <w:u w:val="single" w:color="auto"/>
          <w:color w:val="auto"/>
        </w:rPr>
        <w:t>Effectiveness Deadline</w:t>
      </w:r>
      <w:r>
        <w:rPr>
          <w:rFonts w:ascii="Times New Roman" w:cs="Times New Roman" w:eastAsia="Times New Roman" w:hAnsi="Times New Roman"/>
          <w:sz w:val="18"/>
          <w:szCs w:val="18"/>
          <w:color w:val="auto"/>
        </w:rPr>
        <w:t>”). The Company shall use commercially reasonable efforts to keep the Registration Statement effective pursuant to Rule 415 promulgated under the Securities Act and available for the resale by the Investor of all of the Registrable Securities covered thereby at all times until the date on which the Investor shall have resold all the Registrable Securities covered thereby and no shares of Common Stock remain issuable under the Purchase Agreement (the “</w:t>
      </w:r>
      <w:r>
        <w:rPr>
          <w:rFonts w:ascii="Times New Roman" w:cs="Times New Roman" w:eastAsia="Times New Roman" w:hAnsi="Times New Roman"/>
          <w:sz w:val="18"/>
          <w:szCs w:val="18"/>
          <w:u w:val="single" w:color="auto"/>
          <w:color w:val="auto"/>
        </w:rPr>
        <w:t>Registration Period</w:t>
      </w:r>
      <w:r>
        <w:rPr>
          <w:rFonts w:ascii="Times New Roman" w:cs="Times New Roman" w:eastAsia="Times New Roman" w:hAnsi="Times New Roman"/>
          <w:sz w:val="18"/>
          <w:szCs w:val="18"/>
          <w:color w:val="auto"/>
        </w:rPr>
        <w:t>”). The effective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 Any time-based requirements set forth in this Agreement shall be extended to the next Business Day if the applicable time falls on a weekend or federal holiday.</w:t>
      </w:r>
    </w:p>
    <w:p>
      <w:pPr>
        <w:spacing w:after="0" w:line="204" w:lineRule="exact"/>
        <w:rPr>
          <w:rFonts w:ascii="Times New Roman" w:cs="Times New Roman" w:eastAsia="Times New Roman" w:hAnsi="Times New Roman"/>
          <w:sz w:val="18"/>
          <w:szCs w:val="18"/>
          <w:color w:val="auto"/>
        </w:rPr>
      </w:pPr>
    </w:p>
    <w:p>
      <w:pPr>
        <w:ind w:firstLine="987"/>
        <w:spacing w:after="0" w:line="256" w:lineRule="auto"/>
        <w:tabs>
          <w:tab w:leader="none" w:pos="117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424 Prospectus</w:t>
      </w:r>
      <w:r>
        <w:rPr>
          <w:rFonts w:ascii="Times New Roman" w:cs="Times New Roman" w:eastAsia="Times New Roman" w:hAnsi="Times New Roman"/>
          <w:sz w:val="18"/>
          <w:szCs w:val="18"/>
          <w:color w:val="auto"/>
        </w:rPr>
        <w:t>. The Company shall, as required by applicable securities regulations, from time to time file with the SEC, pursuant to Rule 424 promulgated under the Securities Act, the prospectus and prospectus supplements, if any, to be used in connection with sales of the Registrable Securities under the Registration Statement. The Investor and its counsel shall have a reasonable opportunity to review and comment upon such prospectus prior to its filing with the SEC, and the Company shall give due consideration to all such comments. The Investor shall use its commercially reasonable efforts to comment upon such prospectus within one (1) Business Day from the date the Investor receives the substantially final pre-filing version of such prospectus.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129" w:name="page130"/>
    <w:bookmarkEnd w:id="129"/>
    <w:p>
      <w:pPr>
        <w:ind w:firstLine="991"/>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 </w:t>
      </w:r>
      <w:r>
        <w:rPr>
          <w:rFonts w:ascii="Times New Roman" w:cs="Times New Roman" w:eastAsia="Times New Roman" w:hAnsi="Times New Roman"/>
          <w:sz w:val="17"/>
          <w:szCs w:val="17"/>
          <w:u w:val="single" w:color="auto"/>
          <w:color w:val="auto"/>
        </w:rPr>
        <w:t>Sufficient Number of Shares Registered</w:t>
      </w:r>
      <w:r>
        <w:rPr>
          <w:rFonts w:ascii="Times New Roman" w:cs="Times New Roman" w:eastAsia="Times New Roman" w:hAnsi="Times New Roman"/>
          <w:sz w:val="17"/>
          <w:szCs w:val="17"/>
          <w:color w:val="auto"/>
        </w:rPr>
        <w:t>. In the event the number of shares of Common Stock available under the Registration Statement is insufficient to cover all of the Registrable Securities, the Company shall, to the extent necessary and permissible, amend the Registration Statement or file a new Registration Statement (a “</w:t>
      </w:r>
      <w:r>
        <w:rPr>
          <w:rFonts w:ascii="Times New Roman" w:cs="Times New Roman" w:eastAsia="Times New Roman" w:hAnsi="Times New Roman"/>
          <w:sz w:val="17"/>
          <w:szCs w:val="17"/>
          <w:u w:val="single" w:color="auto"/>
          <w:color w:val="auto"/>
        </w:rPr>
        <w:t>New Registration Statement</w:t>
      </w:r>
      <w:r>
        <w:rPr>
          <w:rFonts w:ascii="Times New Roman" w:cs="Times New Roman" w:eastAsia="Times New Roman" w:hAnsi="Times New Roman"/>
          <w:sz w:val="17"/>
          <w:szCs w:val="17"/>
          <w:color w:val="auto"/>
        </w:rPr>
        <w:t xml:space="preserve">”), so as to cover all of such Registrable Securities (subject to the limitations set forth in </w:t>
      </w:r>
      <w:r>
        <w:rPr>
          <w:rFonts w:ascii="Times New Roman" w:cs="Times New Roman" w:eastAsia="Times New Roman" w:hAnsi="Times New Roman"/>
          <w:sz w:val="17"/>
          <w:szCs w:val="17"/>
          <w:u w:val="single" w:color="auto"/>
          <w:color w:val="auto"/>
        </w:rPr>
        <w:t>Section 2(a)</w:t>
      </w:r>
      <w:r>
        <w:rPr>
          <w:rFonts w:ascii="Times New Roman" w:cs="Times New Roman" w:eastAsia="Times New Roman" w:hAnsi="Times New Roman"/>
          <w:sz w:val="17"/>
          <w:szCs w:val="17"/>
          <w:color w:val="auto"/>
        </w:rPr>
        <w:t>) as soon as reasonably practicable, but in any event not later than fifteen (15) Business Days after the necessity therefor arises, subject to any limits that may be imposed by the SEC pursuant to Rule 415 under the Securities Act. The Company shall use its commercially reasonable efforts to cause such amendment and/or New Registration Statement to become effective as soon as reasonably practicable following the filing thereof.</w:t>
      </w:r>
    </w:p>
    <w:p>
      <w:pPr>
        <w:spacing w:after="0" w:line="173"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If the staff of the SEC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xml:space="preserve">”) or the SEC seeks to characterize any offering pursuant to a Registration Statement filed pursuant to this Agreement as constituting an offering of securities that does not permit such Registration Statement to become effective and be used for resales by the Investor under Rule 415 at then-prevailing market prices (and not fixed prices), or if after the filing of the initial Registration Statement with the SEC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the Company is otherwise required by the Staff or the SEC to reduce the number of Registrable Securities included in such initial Registration Statement, then the Company shall reduce the number of Registrable Securities to be included in such initial Registration Statement (after consulting with the Investor and its legal counsel as to the specific Registrable Securities to be removed therefrom) until such time as the Staff and the SEC shall so permit such Registration Statement to become effective and be used as aforesaid. In the event of any reduction in Registrable Securities pursuant to this paragraph, the Company shall file one or more New Registration Statements in accordance with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until such time as all Registrable Securities have been included in Registration Statements that have been declared effective and the prospectus contained therein is available for use by the Investor. Notwithstanding any provision herein or in the Purchase Agreement to the contrary, the Company’s obligations to register the Registrable Securities (and any related conditions to the Investor’s obligations) shall be qualified as necessary to comport with any requirement of the SEC or the Staff as addressed in this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620" w:hanging="184"/>
        <w:spacing w:after="0"/>
        <w:tabs>
          <w:tab w:leader="none" w:pos="6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With respect to the Registration Statement and whenever any Registrable Securities are to be registered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including on any New Registration Statement, the Company shall use its commercially reasonable efforts to effect the registration of the Registrable Securities in accordance with the intended method of disposition thereof and, pursuant thereto, the Company shall have the following obligations:</w:t>
      </w:r>
    </w:p>
    <w:p>
      <w:pPr>
        <w:spacing w:after="0" w:line="176"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a. The Company shall prepare and file with the SEC such amendments (including post-effective amendments) and supplements to any Registration Statement and the prospectus used in connection with such Registration Statement, which prospectus is to be filed pursuant to Rule 424 promulgated under the Securities Act, as may be necessary to keep the Registration Statement or any New Registration Statement effective at all times during the Registration Period, and, during such period, comply with the applicable provisions of the Securities Act with respect to the disposition of all Registrable Securities of the Company covered by the Registration Statement or any New Registration Statement until such time as all of such Registrable Securities shall have been disposed of in accordance with the intended methods of disposition by the seller or sellers thereof as set forth in such Registration Statement.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30" w:name="page131"/>
    <w:bookmarkEnd w:id="130"/>
    <w:p>
      <w:pPr>
        <w:ind w:left="4" w:right="2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The Company shall permit the Investor to review and comment upon the Registration Statement or any New Registration Statement and all amendments and supplements thereto at least two (2) Business Days prior to filing such Registration Statement or New Registration Statement with the SEC, and not file any such document in a form to which the Investor reasonably objects in writing. The Investor shall use its reasonable best efforts to comment upon the Registration Statement or any New Registration Statement and any amendments or supplements thereto within one (1) Business Day from the date the Investor receives the substantially final version thereof. The Company shall furnish to the Investor, without charge, any correspondence from the SEC or the Staff to the Company or its representatives relating to the Registration Statement or any New Registration Statement.</w:t>
      </w:r>
    </w:p>
    <w:p>
      <w:pPr>
        <w:spacing w:after="0" w:line="189" w:lineRule="exact"/>
        <w:rPr>
          <w:sz w:val="20"/>
          <w:szCs w:val="20"/>
          <w:color w:val="auto"/>
        </w:rPr>
      </w:pPr>
    </w:p>
    <w:p>
      <w:pPr>
        <w:ind w:left="4" w:right="20" w:firstLine="991"/>
        <w:spacing w:after="0" w:line="255" w:lineRule="auto"/>
        <w:rPr>
          <w:sz w:val="20"/>
          <w:szCs w:val="20"/>
          <w:color w:val="auto"/>
        </w:rPr>
      </w:pPr>
      <w:r>
        <w:rPr>
          <w:rFonts w:ascii="Times New Roman" w:cs="Times New Roman" w:eastAsia="Times New Roman" w:hAnsi="Times New Roman"/>
          <w:sz w:val="18"/>
          <w:szCs w:val="18"/>
          <w:color w:val="auto"/>
        </w:rPr>
        <w:t>c. Upon request of the Investor, the Company shall furnish to the Investor, (i) promptly after the same is prepared and filed with the SEC, at least one copy of any Registration Statement and any amendment(s) thereto, including financial statements and schedules, all documents incorporated therein by reference and all exhibits, (ii) upon the effectiveness of any Registration Statement, a copy of the prospectus included in such Registration Statement and all amendments and supplements thereto (or such other number of copies as the Investor may reasonably request) and (iii) such other documents, including copies of any preliminary or final prospectus, as the Investor may reasonably request from time to time in order to facilitate the disposition of the Registrable Securities owned by the Investor. For the avoidance of doubt, any filing available to the Investor via the SEC’s live EDGAR system shall be deemed “furnished to the Investor” or “delivered to the Investor” hereunder.</w:t>
      </w:r>
    </w:p>
    <w:p>
      <w:pPr>
        <w:spacing w:after="0" w:line="189" w:lineRule="exact"/>
        <w:rPr>
          <w:sz w:val="20"/>
          <w:szCs w:val="20"/>
          <w:color w:val="auto"/>
        </w:rPr>
      </w:pPr>
    </w:p>
    <w:p>
      <w:pPr>
        <w:ind w:left="4" w:right="440" w:firstLine="991"/>
        <w:spacing w:after="0" w:line="276" w:lineRule="auto"/>
        <w:rPr>
          <w:sz w:val="20"/>
          <w:szCs w:val="20"/>
          <w:color w:val="auto"/>
        </w:rPr>
      </w:pPr>
      <w:r>
        <w:rPr>
          <w:rFonts w:ascii="Times New Roman" w:cs="Times New Roman" w:eastAsia="Times New Roman" w:hAnsi="Times New Roman"/>
          <w:sz w:val="17"/>
          <w:szCs w:val="17"/>
          <w:color w:val="auto"/>
        </w:rPr>
        <w:t>d. The Company shall use commercially reasonable efforts to (i) register and qualify the Registrable Securities covered by any Registration Statement under such other securities or “blue sky” laws of such jurisdictions in the United States as the Investor reasonably requests,</w:t>
      </w:r>
    </w:p>
    <w:p>
      <w:pPr>
        <w:spacing w:after="0" w:line="1" w:lineRule="exact"/>
        <w:rPr>
          <w:sz w:val="20"/>
          <w:szCs w:val="20"/>
          <w:color w:val="auto"/>
        </w:rPr>
      </w:pPr>
    </w:p>
    <w:p>
      <w:pPr>
        <w:ind w:left="4" w:right="60" w:hanging="4"/>
        <w:spacing w:after="0" w:line="251" w:lineRule="auto"/>
        <w:tabs>
          <w:tab w:leader="none" w:pos="26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(x) qualify to do business in any jurisdiction where it would not otherwise be required to qualify but for this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(y) subject itself to taxation in any such jurisdiction, or (z) file a general consent to service of process in any such jurisdiction. The Company shall promptly notify the Investor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written notice of the initiation or threatening of any proceeding for such purpose. Notwithstanding anything in this Agreement to the contrary, the Company shall not be obligated to register or qualify the Registrable Securities under “blue sky” laws in any state which applies merit review.</w:t>
      </w:r>
    </w:p>
    <w:p>
      <w:pPr>
        <w:spacing w:after="0" w:line="192" w:lineRule="exact"/>
        <w:rPr>
          <w:rFonts w:ascii="Times New Roman" w:cs="Times New Roman" w:eastAsia="Times New Roman" w:hAnsi="Times New Roman"/>
          <w:sz w:val="18"/>
          <w:szCs w:val="18"/>
          <w:color w:val="auto"/>
        </w:rPr>
      </w:pPr>
    </w:p>
    <w:p>
      <w:pPr>
        <w:ind w:left="4" w:firstLine="987"/>
        <w:spacing w:after="0" w:line="253" w:lineRule="auto"/>
        <w:tabs>
          <w:tab w:leader="none" w:pos="1165"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becoming aware of any event or fact, the result of which makes a material fact included in any Registration Statement, as then in effect, or any prospectus included therein untrue or results in the omission of a material fact required to be stated therein or necessary in order to make the statements then made therein (in the case of any prospectus, in light of the circumstances under which they were made) not misleading, the Company shall notify the Investor in writing of the happening of such event or existence of such facts and promptly prepare a supplement or amendment to such Registration Statement to correct such untrue statement or omission, and deliver a copy of such supplement or amendment to the Investor. The Company shall also promptly notify the Investor in writing (i) when a prospectus or any prospectus supplement or post-effective amendment has been filed, and when any Registration Statement or any post-effective amendment has become effective (notification of such effectiveness shall be delivered to the Investor by email or facsimile on the same day of such effectiveness or by overnight mail), (ii) of any request by the SEC for amendments or supplements to any Registration Statement or related prospectus or related information, and (iii) of the Company’s reasonable determination that a post-effective amendment to any Registration Statement would be appropriate.</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131" w:name="page132"/>
    <w:bookmarkEnd w:id="131"/>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 The Company shall use its commercially reasonable efforts to prevent the issuance of any stop order or other suspension of effectiveness of any Registration Statement, or the suspension of the qualification of any Registrable Securities for sale in any jurisdiction and, if such an order or suspension is issued, to obtain the withdrawal of such order or suspension at the earliest possible moment and to notify the Investor of the issuance of such order and the resolution thereof or its receipt of actual notice of the initiation or threat of any proceeding for such purpose.</w:t>
      </w:r>
    </w:p>
    <w:p>
      <w:pPr>
        <w:spacing w:after="0" w:line="180"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g. The Company shall (i) cause all the Registrable Securities to be listed on the applicable Trading Market if the listing of such Registrable Securities is then permitted under the rules of such Trading Market, or (ii) secure designation and quotation of all the Registrable Securities on a Trading Market. The Company shall pay all fees and expenses in connection with satisfying its obligation under this </w:t>
      </w:r>
      <w:r>
        <w:rPr>
          <w:rFonts w:ascii="Times New Roman" w:cs="Times New Roman" w:eastAsia="Times New Roman" w:hAnsi="Times New Roman"/>
          <w:sz w:val="18"/>
          <w:szCs w:val="18"/>
          <w:u w:val="single" w:color="auto"/>
          <w:color w:val="auto"/>
        </w:rPr>
        <w:t>Section 3(g)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20" w:firstLine="991"/>
        <w:spacing w:after="0" w:line="272" w:lineRule="auto"/>
        <w:rPr>
          <w:sz w:val="20"/>
          <w:szCs w:val="20"/>
          <w:color w:val="auto"/>
        </w:rPr>
      </w:pPr>
      <w:r>
        <w:rPr>
          <w:rFonts w:ascii="Times New Roman" w:cs="Times New Roman" w:eastAsia="Times New Roman" w:hAnsi="Times New Roman"/>
          <w:sz w:val="17"/>
          <w:szCs w:val="17"/>
          <w:color w:val="auto"/>
        </w:rPr>
        <w:t>h. The Company shall cooperate with the Investor to facilitate the timely issuance of the Registrable Securities to be offered pursuant to any Registration Statement, it being agreed that such Registrable Securities shall be issued as DWAC Shares and in such denominations or amounts as the Investor may reasonably request and registered in such names as the Investor may request. “</w:t>
      </w:r>
      <w:r>
        <w:rPr>
          <w:rFonts w:ascii="Times New Roman" w:cs="Times New Roman" w:eastAsia="Times New Roman" w:hAnsi="Times New Roman"/>
          <w:sz w:val="17"/>
          <w:szCs w:val="17"/>
          <w:u w:val="single" w:color="auto"/>
          <w:color w:val="auto"/>
        </w:rPr>
        <w:t>DWAC Shares</w:t>
      </w:r>
      <w:r>
        <w:rPr>
          <w:rFonts w:ascii="Times New Roman" w:cs="Times New Roman" w:eastAsia="Times New Roman" w:hAnsi="Times New Roman"/>
          <w:sz w:val="17"/>
          <w:szCs w:val="17"/>
          <w:color w:val="auto"/>
        </w:rPr>
        <w:t>” means shares of Common Stock that are</w:t>
      </w:r>
    </w:p>
    <w:p>
      <w:pPr>
        <w:spacing w:after="0" w:line="2" w:lineRule="exact"/>
        <w:rPr>
          <w:sz w:val="20"/>
          <w:szCs w:val="20"/>
          <w:color w:val="auto"/>
        </w:rPr>
      </w:pPr>
    </w:p>
    <w:p>
      <w:pPr>
        <w:ind w:left="4" w:right="60" w:hanging="4"/>
        <w:spacing w:after="0" w:line="255" w:lineRule="auto"/>
        <w:tabs>
          <w:tab w:leader="none" w:pos="21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in electronic form, (ii) the resale of which is registered under an effective registration statement and (iii) timely credited, once a DWAC notice is received, by the Company to the Investor’s or its designee’s specified Deposit/Withdrawal at Custodian (DWAC) account with DTC under its Fast Automated Securities Transfer (FAST) Program, or any similar program hereafter adopted by DTC performing substantially the same function.</w:t>
      </w:r>
    </w:p>
    <w:p>
      <w:pPr>
        <w:spacing w:after="0" w:line="185" w:lineRule="exact"/>
        <w:rPr>
          <w:rFonts w:ascii="Times New Roman" w:cs="Times New Roman" w:eastAsia="Times New Roman" w:hAnsi="Times New Roman"/>
          <w:sz w:val="18"/>
          <w:szCs w:val="18"/>
          <w:color w:val="auto"/>
        </w:rPr>
      </w:pPr>
    </w:p>
    <w:p>
      <w:pPr>
        <w:ind w:left="1124" w:hanging="133"/>
        <w:spacing w:after="0"/>
        <w:tabs>
          <w:tab w:leader="none" w:pos="112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at all times provide a transfer agent and registrar with respect to its Common Stock.</w:t>
      </w:r>
    </w:p>
    <w:p>
      <w:pPr>
        <w:spacing w:after="0" w:line="225"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135"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reasonably requested in writing by the Investor, the Company shall: (i) as soon as practicable after receipt of written notice from the Investor, incorporate in a prospectus supplement or post-effective amendment such information as the Investor reasonably believes should be included therein relating to the sale and distribution of Registrable Securities, including, without limitation, information with respect to the number of Registrable Securities being sold, the purchase price being paid therefor and any other terms of the offering of the Registrable Securities; (ii) make all required filings of such prospectus supplement or post-effective amendment as soon as practicable upon notification of the matters to be incorporated in such prospectus supplement or post-effective amendment; and (iii) supplement or make amendments to any Registration Statement or New Registration Statement.</w:t>
      </w:r>
    </w:p>
    <w:p>
      <w:pPr>
        <w:spacing w:after="0" w:line="188"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175"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to cause the Registrable Securities covered by any Registration Statement to be registered with or approved by such other governmental agencies or authorities in the United States as may be necessary to consummate the disposition of such Registrable Securities.</w:t>
      </w:r>
    </w:p>
    <w:p>
      <w:pPr>
        <w:spacing w:after="0" w:line="175" w:lineRule="exact"/>
        <w:rPr>
          <w:rFonts w:ascii="Times New Roman" w:cs="Times New Roman" w:eastAsia="Times New Roman" w:hAnsi="Times New Roman"/>
          <w:sz w:val="18"/>
          <w:szCs w:val="18"/>
          <w:color w:val="auto"/>
        </w:rPr>
      </w:pPr>
    </w:p>
    <w:p>
      <w:pPr>
        <w:ind w:left="4" w:firstLine="987"/>
        <w:spacing w:after="0" w:line="256" w:lineRule="auto"/>
        <w:tabs>
          <w:tab w:leader="none" w:pos="1135"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one (1) Business Day after any Registration Statement which includes the Registrable Securities is declared effective by the SEC, the Company shall deliver, and shall direct legal counsel for the Company to deliver, to the Transfer Agent (with copies to the Investor) confirmation that such Registration Statement has been declared effective by the SEC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Thereafter, if requested by the Investor at any time, the Company shall direct its counsel to deliver to the Investor a written confirmation whether or not the effectiveness of such Registration Statement has lapsed at any time for any reason (including, without limitation, the issuance of a stop order) and whether or not the Registration Statement is current and available to the Investor for sale of all of the Registrable Securities.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132" w:name="page133"/>
    <w:bookmarkEnd w:id="132"/>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 Notwithstanding anything to the contrary in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at any time after the applicable Registration Statement has been declared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effective by the SEC, the Company may delay the disclosure of material non-public information concerning the Company the disclosure of which at the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time is not, in the good faith opinion of the Board of Directors of the Company and its counsel, in the best interest of the Company and not, in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opinion of counsel to the Company, otherwise required (a “</w:t>
      </w:r>
      <w:r>
        <w:rPr>
          <w:rFonts w:ascii="Times New Roman" w:cs="Times New Roman" w:eastAsia="Times New Roman" w:hAnsi="Times New Roman"/>
          <w:sz w:val="18"/>
          <w:szCs w:val="18"/>
          <w:u w:val="single" w:color="auto"/>
          <w:color w:val="auto"/>
        </w:rPr>
        <w:t>Grace Period</w:t>
      </w:r>
      <w:r>
        <w:rPr>
          <w:rFonts w:ascii="Times New Roman" w:cs="Times New Roman" w:eastAsia="Times New Roman" w:hAnsi="Times New Roman"/>
          <w:sz w:val="18"/>
          <w:szCs w:val="18"/>
          <w:color w:val="auto"/>
        </w:rPr>
        <w:t>”); provided, that the Company shall promptly (i) notify the Investor in writing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the existence of material non-public information giving rise to a Grace Period (provided that the Company shall not disclose the content of such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material non-public information to the Investor) and the date on which the Grace Period will begin, and (ii) notify the Investor in writing of the date 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which the Grace Period ends; and, provided further, that (A) no Grace Period shall exceed ten (10) consecutive days, (B) during any 365-day period,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such Grace Periods shall not exceed an aggregate of twenty-five (25) days and (C) the first day of any Grace Period shall be at least five (5) Trading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Days after the last day of any prior Grace Period (a Grace Period that satisfies all of the requirements of this </w:t>
      </w:r>
      <w:r>
        <w:rPr>
          <w:rFonts w:ascii="Times New Roman" w:cs="Times New Roman" w:eastAsia="Times New Roman" w:hAnsi="Times New Roman"/>
          <w:sz w:val="18"/>
          <w:szCs w:val="18"/>
          <w:u w:val="single" w:color="auto"/>
          <w:color w:val="auto"/>
        </w:rPr>
        <w:t>Section 3(m)</w:t>
      </w:r>
      <w:r>
        <w:rPr>
          <w:rFonts w:ascii="Times New Roman" w:cs="Times New Roman" w:eastAsia="Times New Roman" w:hAnsi="Times New Roman"/>
          <w:sz w:val="18"/>
          <w:szCs w:val="18"/>
          <w:color w:val="auto"/>
        </w:rPr>
        <w:t xml:space="preserve"> being referred to as 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Allowable Grace Period</w:t>
      </w:r>
      <w:r>
        <w:rPr>
          <w:rFonts w:ascii="Times New Roman" w:cs="Times New Roman" w:eastAsia="Times New Roman" w:hAnsi="Times New Roman"/>
          <w:sz w:val="18"/>
          <w:szCs w:val="18"/>
          <w:color w:val="auto"/>
        </w:rPr>
        <w:t>”). For purposes of determining the length of a Grace Period above, the Grace Period shall begin on and include the date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Investor receive the notice referred to in clause (i) and shall end on and include the later of the date the Investor receive the notice referred to in clause</w:t>
      </w:r>
    </w:p>
    <w:p>
      <w:pPr>
        <w:spacing w:after="0" w:line="9" w:lineRule="exact"/>
        <w:rPr>
          <w:sz w:val="20"/>
          <w:szCs w:val="20"/>
          <w:color w:val="auto"/>
        </w:rPr>
      </w:pPr>
    </w:p>
    <w:p>
      <w:pPr>
        <w:ind w:left="4" w:right="20" w:hanging="4"/>
        <w:spacing w:after="0" w:line="255" w:lineRule="auto"/>
        <w:tabs>
          <w:tab w:leader="none" w:pos="26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the date referred to in such notice. The provisions of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hereof shall not be applicable during the period of any Allowable Grace Period. Upon expiration of the Grace Period, the Company shall again be bound by the provisions of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with respect to the information giving rise thereto unless such material non-public information is no longer applicable.</w:t>
      </w:r>
    </w:p>
    <w:p>
      <w:pPr>
        <w:spacing w:after="0" w:line="185" w:lineRule="exact"/>
        <w:rPr>
          <w:rFonts w:ascii="Times New Roman" w:cs="Times New Roman" w:eastAsia="Times New Roman" w:hAnsi="Times New Roman"/>
          <w:sz w:val="18"/>
          <w:szCs w:val="18"/>
          <w:color w:val="auto"/>
        </w:rPr>
      </w:pPr>
    </w:p>
    <w:p>
      <w:pPr>
        <w:ind w:left="4" w:right="280" w:firstLine="987"/>
        <w:spacing w:after="0" w:line="282" w:lineRule="auto"/>
        <w:tabs>
          <w:tab w:leader="none" w:pos="1175"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such other reasonable actions necessary to expedite and facilitate disposition by the Investor of Registrable Securities pursuant to any Registration Statement.</w:t>
      </w:r>
    </w:p>
    <w:p>
      <w:pPr>
        <w:spacing w:after="0" w:line="161"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THE INVESTOR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20" w:firstLine="987"/>
        <w:spacing w:after="0" w:line="258" w:lineRule="auto"/>
        <w:tabs>
          <w:tab w:leader="none" w:pos="1165"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notify the Investor in writing of the information the Company reasonably requires from the Investor in connection with any Registration Statement hereunder. The Investor shall promptly furnish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w:t>
      </w:r>
    </w:p>
    <w:p>
      <w:pPr>
        <w:spacing w:after="0" w:line="183" w:lineRule="exact"/>
        <w:rPr>
          <w:rFonts w:ascii="Times New Roman" w:cs="Times New Roman" w:eastAsia="Times New Roman" w:hAnsi="Times New Roman"/>
          <w:sz w:val="18"/>
          <w:szCs w:val="18"/>
          <w:color w:val="auto"/>
        </w:rPr>
      </w:pPr>
    </w:p>
    <w:p>
      <w:pPr>
        <w:ind w:left="4" w:right="240" w:firstLine="987"/>
        <w:spacing w:after="0" w:line="282" w:lineRule="auto"/>
        <w:tabs>
          <w:tab w:leader="none" w:pos="1175"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agrees to cooperate with the Company as reasonably requested by the Company in connection with the preparation and filing of any Registration Statement hereunder and any amendments and supplements thereof.</w:t>
      </w:r>
    </w:p>
    <w:p>
      <w:pPr>
        <w:spacing w:after="0" w:line="161"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165"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agrees that, upon receipt of any notice from the Company of the happening of any event or existence of facts of the kind described in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xml:space="preserve"> or the first sentence of </w:t>
      </w:r>
      <w:r>
        <w:rPr>
          <w:rFonts w:ascii="Times New Roman" w:cs="Times New Roman" w:eastAsia="Times New Roman" w:hAnsi="Times New Roman"/>
          <w:sz w:val="18"/>
          <w:szCs w:val="18"/>
          <w:u w:val="single" w:color="auto"/>
          <w:color w:val="auto"/>
        </w:rPr>
        <w:t>3(e)</w:t>
      </w:r>
      <w:r>
        <w:rPr>
          <w:rFonts w:ascii="Times New Roman" w:cs="Times New Roman" w:eastAsia="Times New Roman" w:hAnsi="Times New Roman"/>
          <w:sz w:val="18"/>
          <w:szCs w:val="18"/>
          <w:color w:val="auto"/>
        </w:rPr>
        <w:t xml:space="preserve">, the Investor will immediately discontinue disposition of Registrable Securities pursuant to any Registration Statement(s) covering such Registrable Securities until the Investor’s receipt of the copies of a notice regarding the resolution or withdrawal of the stop order or suspension as contemplated by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xml:space="preserve"> or the supplemented or amended prospectus as contemplated by the first sentence of Section 3(e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Notwithstanding anything to the contrary, the Company shall direct the Transfer Agent to promptly deliver shares of Common Stock without any restrictive legend in accordance with the terms of the Purchase Agreement in connection with any sale of Registrable Securities with respect to which an Investor has entered into a contract for sale prior to the Investor’s receipt of a notice from the Company of the happening of any event of the kind described in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xml:space="preserve"> or the first sentence of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and for which the</w:t>
      </w:r>
    </w:p>
    <w:p>
      <w:pPr>
        <w:spacing w:after="0" w:line="12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4"/>
          </w:cols>
          <w:pgMar w:left="436" w:top="270" w:right="519" w:bottom="1440" w:gutter="0" w:footer="0" w:header="0"/>
        </w:sectPr>
      </w:pPr>
    </w:p>
    <w:bookmarkStart w:id="133" w:name="page134"/>
    <w:bookmarkEnd w:id="133"/>
    <w:p>
      <w:pPr>
        <w:ind w:left="4"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 has not yet settled. Each Investor agrees that, upon receipt of written notice from the Company of the happening of any event of the kind described in Section 3(g) or the first sentence of Section 3(f), or written notice from the Company of an Allowable Grace Period, such Investor will immediately discontinue disposition of Registrable Securities pursuant to any Registration Statement(s) covering such Registrable Securities until such Investor’s receipt of the copies of the supplemented or amended prospectus contemplated by Section 3(g) or the first sentence of Section 3(f) or receipt of notice that no supplement or amendment is required or that the Allowable Grace Period has ended. Notwithstanding anything to the contrary, the Company shall cause its transfer agent to deliver unlegended shares of Common Stock to a transferee of an Investor in accordance with the terms of the Securities Purchase Agreement in connection with any sale of Registrable Securities with respect to which an Investor has entered into a contract for sale prior to the Investor’s receipt of a notice from the Company of the happening of any event of the kind described in Section 3(g) or the first sentence of Section 3(f) or written notice from the Company of an Allowable Grace Period and for which the Investor has not yet settled.</w:t>
      </w:r>
    </w:p>
    <w:p>
      <w:pPr>
        <w:spacing w:after="0" w:line="188" w:lineRule="exact"/>
        <w:rPr>
          <w:sz w:val="20"/>
          <w:szCs w:val="20"/>
          <w:color w:val="auto"/>
        </w:rPr>
      </w:pPr>
    </w:p>
    <w:p>
      <w:pPr>
        <w:ind w:left="624" w:hanging="184"/>
        <w:spacing w:after="0"/>
        <w:tabs>
          <w:tab w:leader="none" w:pos="62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All reasonable expenses of the Company, other than sales or brokerage commissions, incurred in connection with registrations, filings or qualifications pursuant to </w:t>
      </w:r>
      <w:r>
        <w:rPr>
          <w:rFonts w:ascii="Times New Roman" w:cs="Times New Roman" w:eastAsia="Times New Roman" w:hAnsi="Times New Roman"/>
          <w:sz w:val="18"/>
          <w:szCs w:val="18"/>
          <w:u w:val="single" w:color="auto"/>
          <w:color w:val="auto"/>
        </w:rPr>
        <w:t>Sections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including, without limitation, all registration, listing and qualifications fees, printers and accounting fees, and fees and disbursements of counsel for the Company, shall be paid by the Company.</w:t>
      </w:r>
    </w:p>
    <w:p>
      <w:pPr>
        <w:spacing w:after="0" w:line="176" w:lineRule="exact"/>
        <w:rPr>
          <w:sz w:val="20"/>
          <w:szCs w:val="20"/>
          <w:color w:val="auto"/>
        </w:rPr>
      </w:pPr>
    </w:p>
    <w:p>
      <w:pPr>
        <w:ind w:left="624" w:hanging="184"/>
        <w:spacing w:after="0"/>
        <w:tabs>
          <w:tab w:leader="none" w:pos="62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20" w:firstLine="991"/>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 To the fullest extent permitted by law, the Company will, and hereby does, indemnify, hold harmless and defend the Investor, each Person, if any, who controls the Investor, the members, the directors, officers, partners, employees, agents, representatives of the Investor and each Person, if any, who controls the Investor within the meaning of Section 20 of the Securities Exchange Act of 1934, as amended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(each, an “</w:t>
      </w:r>
      <w:r>
        <w:rPr>
          <w:rFonts w:ascii="Times New Roman" w:cs="Times New Roman" w:eastAsia="Times New Roman" w:hAnsi="Times New Roman"/>
          <w:sz w:val="17"/>
          <w:szCs w:val="17"/>
          <w:u w:val="single" w:color="auto"/>
          <w:color w:val="auto"/>
        </w:rPr>
        <w:t>Indemnified Person</w:t>
      </w:r>
      <w:r>
        <w:rPr>
          <w:rFonts w:ascii="Times New Roman" w:cs="Times New Roman" w:eastAsia="Times New Roman" w:hAnsi="Times New Roman"/>
          <w:sz w:val="17"/>
          <w:szCs w:val="17"/>
          <w:color w:val="auto"/>
        </w:rPr>
        <w:t>”), against any losses, claims, damages, liabilities, judgments, fines, penalties, charges, costs, reasonable attorneys’ fees, amounts paid in settlement (such settlement with the consent of the Company, and such consent not to be unreasonably withheld) or reasonable expenses, joint or several, (collectively, “</w:t>
      </w:r>
      <w:r>
        <w:rPr>
          <w:rFonts w:ascii="Times New Roman" w:cs="Times New Roman" w:eastAsia="Times New Roman" w:hAnsi="Times New Roman"/>
          <w:sz w:val="17"/>
          <w:szCs w:val="17"/>
          <w:u w:val="single" w:color="auto"/>
          <w:color w:val="auto"/>
        </w:rPr>
        <w:t>Claims</w:t>
      </w:r>
      <w:r>
        <w:rPr>
          <w:rFonts w:ascii="Times New Roman" w:cs="Times New Roman" w:eastAsia="Times New Roman" w:hAnsi="Times New Roman"/>
          <w:sz w:val="17"/>
          <w:szCs w:val="17"/>
          <w:color w:val="auto"/>
        </w:rPr>
        <w:t>”) incurred in investigating, preparing or defending any action, claim, suit, inquiry, proceeding, investigation or appeal taken from the foregoing by or before any court or governmental, administrative or other regulatory agency, body or the SEC, whether pending or threatened, whether or not an indemnified party is or may be a party thereto (“</w:t>
      </w:r>
      <w:r>
        <w:rPr>
          <w:rFonts w:ascii="Times New Roman" w:cs="Times New Roman" w:eastAsia="Times New Roman" w:hAnsi="Times New Roman"/>
          <w:sz w:val="17"/>
          <w:szCs w:val="17"/>
          <w:u w:val="single" w:color="auto"/>
          <w:color w:val="auto"/>
        </w:rPr>
        <w:t>Indemnified Damages</w:t>
      </w:r>
      <w:r>
        <w:rPr>
          <w:rFonts w:ascii="Times New Roman" w:cs="Times New Roman" w:eastAsia="Times New Roman" w:hAnsi="Times New Roman"/>
          <w:sz w:val="17"/>
          <w:szCs w:val="17"/>
          <w:color w:val="auto"/>
        </w:rPr>
        <w:t>”), to which any of them may become subject insofar as such Claims (or actions or proceedings, whether commenced or threatened, in respect thereof) arise out of or are based upon:</w:t>
      </w:r>
    </w:p>
    <w:p>
      <w:pPr>
        <w:spacing w:after="0" w:line="5" w:lineRule="exact"/>
        <w:rPr>
          <w:rFonts w:ascii="Times New Roman" w:cs="Times New Roman" w:eastAsia="Times New Roman" w:hAnsi="Times New Roman"/>
          <w:sz w:val="18"/>
          <w:szCs w:val="18"/>
          <w:color w:val="auto"/>
        </w:rPr>
      </w:pPr>
    </w:p>
    <w:p>
      <w:pPr>
        <w:ind w:left="4" w:hanging="4"/>
        <w:spacing w:after="0" w:line="251" w:lineRule="auto"/>
        <w:tabs>
          <w:tab w:leader="none" w:pos="21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of a material fact in the Registration Statement, any New Registration Statement or any post-effective amendment thereto or in any filing made by the Company in connection with the qualification of the offering under the securities or other “blue sky” laws of any jurisdiction in which Registrable Securities are offered (“</w:t>
      </w:r>
      <w:r>
        <w:rPr>
          <w:rFonts w:ascii="Times New Roman" w:cs="Times New Roman" w:eastAsia="Times New Roman" w:hAnsi="Times New Roman"/>
          <w:sz w:val="18"/>
          <w:szCs w:val="18"/>
          <w:u w:val="single" w:color="auto"/>
          <w:color w:val="auto"/>
        </w:rPr>
        <w:t>Blue Sky Filing</w:t>
      </w:r>
      <w:r>
        <w:rPr>
          <w:rFonts w:ascii="Times New Roman" w:cs="Times New Roman" w:eastAsia="Times New Roman" w:hAnsi="Times New Roman"/>
          <w:sz w:val="18"/>
          <w:szCs w:val="18"/>
          <w:color w:val="auto"/>
        </w:rPr>
        <w:t>”), or the omission or alleged omission to state a material fact required to be stated therein or necessary to make the statements therein not misleading, (ii) any untrue statement or alleged untrue statement of a material fact contained in the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(iii) any violation or alleged violation by the Company of the Securities Act, the Exchange Act, any other law, including, without limitation, any state securities law, or any rule or regulation thereunder relating to the offer or sale of the Registrable Securities pursuant to the Registration Statement or any New Registration Statement or (iv) any material violation by the Company of this Agreement (the matters in the foregoing clauses (i) through (iv) being, collectively, “</w:t>
      </w:r>
      <w:r>
        <w:rPr>
          <w:rFonts w:ascii="Times New Roman" w:cs="Times New Roman" w:eastAsia="Times New Roman" w:hAnsi="Times New Roman"/>
          <w:sz w:val="18"/>
          <w:szCs w:val="18"/>
          <w:u w:val="single" w:color="auto"/>
          <w:color w:val="auto"/>
        </w:rPr>
        <w:t>Violations</w:t>
      </w:r>
      <w:r>
        <w:rPr>
          <w:rFonts w:ascii="Times New Roman" w:cs="Times New Roman" w:eastAsia="Times New Roman" w:hAnsi="Times New Roman"/>
          <w:sz w:val="18"/>
          <w:szCs w:val="18"/>
          <w:color w:val="auto"/>
        </w:rPr>
        <w:t>”). The Company shall reimburse each Indemnified Person promptly as such expenses are incurred and are due and payable, for</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70" w:right="439" w:bottom="1440" w:gutter="0" w:footer="0" w:header="0"/>
        </w:sectPr>
      </w:pPr>
    </w:p>
    <w:bookmarkStart w:id="134" w:name="page135"/>
    <w:bookmarkEnd w:id="13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reasonable and documented legal fees or other reasonable expenses incurred by them in connection with investigating or defending any such Claim. Notwithstanding anything to the contrary contained herein, the indemnification agreement contained in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(i) shall not apply to a Claim by an Indemnified Person arising out of or based upon a Violation which occurs in reliance upon and in conformity with information about or relating to the Investor or its sale of Registrable Securities furnished in writing to the Company by such Indemnified Person expressly for use in connection with the preparation of the Registration Statement, any New Registration Statement or any such amendment thereof or supplement thereto or prospectus contained therein, if such Registration Statement, New Registration Statement or amendment thereof or supplement thereof or prospectus contained therein was timely made available by the Company pursuant to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(ii) with respect to any superseded prospectus, shall not inure to the benefit of any such Person from whom the Person asserting any such Claim purchased the Registrable Securities that are the subject thereof (or to the benefit of any Person controlling such Person) if the untrue statement or omission of material fact contained in the superseded prospectus was corrected in the revised prospectus, as then amended or supplemented, if such revised prospectus was timely made available by the Company pursuant to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and the Indemnified Person was promptly advised in writing not to use the incorrect prospectus prior to the use giving rise to a violation and such Indemnified Person, notwithstanding such advice, used it; (iii) shall not be available to the extent such Claim is based on a failure of the Investor to deliver or to cause to be delivered the prospectus made available by the Company, if such prospectus was timely made available by the Company pursuant to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and (iv)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and shall survive the transfer of the Registrable Securities by the Investor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b. In connection with the Registration Statement or any New Registration Statement or prospectus, the Investor agrees to indemnify, hold harmless and defend, to the same extent and in the same manner as is set forth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the Company, each of its directors, each of its officers who signs the Registration Statement or any New Registration Statement, each Person, if any, who controls the Company within the meaning of Section 20 of the Exchange Act (collectively and together with an Indemnified Person,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against any Claim or Indemnified Damages to which any of them may become subject, under the Securities Act, the Exchange Act or otherwise, insofar as such Claim or Indemnified Damages arise out of or are based upon any Violation, in each case to the extent, and only to the extent, that such Violation occurs in reliance upon and in conformity with written information about the Investor or its offer and sale of Registrable Securities including the information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or updated from time to time in writing by the Investor and furnished to the Company by the Investor expressly for use in connection with such Registration Statement or prospectus or any New Registration Statement or from the failure of the Investor to deliver or cause to be delivered the prospectus made available by the Company, if such prospectus was timely made available by the Company pursuant to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the Investor will reimburse any legal or other expenses reasonably incurred (and documented) by such Indemnified Party in connection with investigating or defending any such Claim; provided, however, that the indemnity agreement contained in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and the agreement with respect to contribution contained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not apply to amounts paid in settlement of any Claim if such settlement is effected without the prior written consent of the Investor, which consent shall not be unreasonably withheld; provided, further, however, that the Investor shall be liable under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for only that amount of a Claim or Indemnified Damages as does not exceed the net proceeds to the Investor as a result of the sale of Registrable Securities pursuant to such Registration Statement. Such indemnity shall remain in full force and effect regardless of any investigation made by or on behalf of such Indemnified Party and shall survive the transfer of the Registrable Securities by the Investor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35" w:name="page136"/>
    <w:bookmarkEnd w:id="135"/>
    <w:p>
      <w:pPr>
        <w:ind w:left="4" w:firstLine="991"/>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 Promptly after receipt by an Indemnified Person or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separate counsel comprised of one attorney or law firm with the reasonable and documented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fully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at all times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which does not include as an unconditional term thereof the giving by the claimant or plaintiff to such Indemnified Party or Indemnified Person of a release from all liability in respect to such claim or litigation.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except to the extent that the indemnifying party is prejudiced in its ability to defend such action.</w:t>
      </w:r>
    </w:p>
    <w:p>
      <w:pPr>
        <w:spacing w:after="0" w:line="206" w:lineRule="exact"/>
        <w:rPr>
          <w:sz w:val="20"/>
          <w:szCs w:val="20"/>
          <w:color w:val="auto"/>
        </w:rPr>
      </w:pPr>
    </w:p>
    <w:p>
      <w:pPr>
        <w:ind w:left="4" w:right="460" w:firstLine="991"/>
        <w:spacing w:after="0" w:line="289" w:lineRule="auto"/>
        <w:rPr>
          <w:sz w:val="20"/>
          <w:szCs w:val="20"/>
          <w:color w:val="auto"/>
        </w:rPr>
      </w:pPr>
      <w:r>
        <w:rPr>
          <w:rFonts w:ascii="Times New Roman" w:cs="Times New Roman" w:eastAsia="Times New Roman" w:hAnsi="Times New Roman"/>
          <w:sz w:val="17"/>
          <w:szCs w:val="17"/>
          <w:color w:val="auto"/>
        </w:rPr>
        <w:t xml:space="preserve">d. The indemnification required by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that is later determined (via definitive adjudication) not to be entitled to such payment shall return such payment to the person making it.</w:t>
      </w:r>
    </w:p>
    <w:p>
      <w:pPr>
        <w:spacing w:after="0" w:line="158" w:lineRule="exact"/>
        <w:rPr>
          <w:sz w:val="20"/>
          <w:szCs w:val="20"/>
          <w:color w:val="auto"/>
        </w:rPr>
      </w:pPr>
    </w:p>
    <w:p>
      <w:pPr>
        <w:ind w:left="4" w:right="80" w:firstLine="991"/>
        <w:spacing w:after="0" w:line="312" w:lineRule="auto"/>
        <w:rPr>
          <w:sz w:val="20"/>
          <w:szCs w:val="20"/>
          <w:color w:val="auto"/>
        </w:rPr>
      </w:pPr>
      <w:r>
        <w:rPr>
          <w:rFonts w:ascii="Times New Roman" w:cs="Times New Roman" w:eastAsia="Times New Roman" w:hAnsi="Times New Roman"/>
          <w:sz w:val="17"/>
          <w:szCs w:val="17"/>
          <w:color w:val="auto"/>
        </w:rPr>
        <w:t>e. The indemnity agreements contained herein shall be in addition to (i) any cause of action or similar right of the Indemnified Party or Indemnified Person against the indemnifying party or others, and (ii) any liabilities the indemnifying party may be subject to pursuant to applicable law.</w:t>
      </w:r>
    </w:p>
    <w:p>
      <w:pPr>
        <w:spacing w:after="0" w:line="140" w:lineRule="exact"/>
        <w:rPr>
          <w:sz w:val="20"/>
          <w:szCs w:val="20"/>
          <w:color w:val="auto"/>
        </w:rPr>
      </w:pPr>
    </w:p>
    <w:p>
      <w:pPr>
        <w:ind w:left="624" w:hanging="184"/>
        <w:spacing w:after="0"/>
        <w:tabs>
          <w:tab w:leader="none" w:pos="62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0" w:firstLine="991"/>
        <w:spacing w:after="0" w:line="270" w:lineRule="auto"/>
        <w:rPr>
          <w:sz w:val="20"/>
          <w:szCs w:val="20"/>
          <w:color w:val="auto"/>
        </w:rPr>
      </w:pPr>
      <w:r>
        <w:rPr>
          <w:rFonts w:ascii="Times New Roman" w:cs="Times New Roman" w:eastAsia="Times New Roman" w:hAnsi="Times New Roman"/>
          <w:sz w:val="17"/>
          <w:szCs w:val="17"/>
          <w:color w:val="auto"/>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w:t>
      </w:r>
    </w:p>
    <w:p>
      <w:pPr>
        <w:spacing w:after="0" w:line="3" w:lineRule="exact"/>
        <w:rPr>
          <w:sz w:val="20"/>
          <w:szCs w:val="20"/>
          <w:color w:val="auto"/>
        </w:rPr>
      </w:pPr>
    </w:p>
    <w:p>
      <w:pPr>
        <w:ind w:left="4" w:right="140" w:hanging="4"/>
        <w:spacing w:after="0" w:line="260" w:lineRule="auto"/>
        <w:tabs>
          <w:tab w:leader="none" w:pos="26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by any seller of Registrable Securities shall be limited in amount to the net amount of proceeds received by such seller from the sale of such Registrable Securities.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70" w:right="439" w:bottom="1440" w:gutter="0" w:footer="0" w:header="0"/>
        </w:sectPr>
      </w:pPr>
    </w:p>
    <w:bookmarkStart w:id="136" w:name="page137"/>
    <w:bookmarkEnd w:id="136"/>
    <w:p>
      <w:pPr>
        <w:ind w:left="620" w:hanging="184"/>
        <w:spacing w:after="0"/>
        <w:tabs>
          <w:tab w:leader="none" w:pos="6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REPORTS AND DISCLOSURE UNDER THE SECURITIES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With a view to making available to the Investor the benefits of Rule 144 promulgated under the Securities Act or any other similar rule or regulation of the SEC that may at any time permit the Investor to sell securities of the Company to the public without registration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the Company agrees, at the Company’s sole expense, for as long as the Investor owns Registrable Securities, to use commercially reasonable efforts to:</w:t>
      </w:r>
    </w:p>
    <w:p>
      <w:pPr>
        <w:spacing w:after="0" w:line="176"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a. make and keep public information available, as those terms are understood and defined in Rule 144 (with the failure of the Company for any reason to satisfy the requirements of Rule 144(c)(1), referred to as a “</w:t>
      </w:r>
      <w:r>
        <w:rPr>
          <w:rFonts w:ascii="Times New Roman" w:cs="Times New Roman" w:eastAsia="Times New Roman" w:hAnsi="Times New Roman"/>
          <w:sz w:val="18"/>
          <w:szCs w:val="18"/>
          <w:u w:val="single" w:color="auto"/>
          <w:color w:val="auto"/>
        </w:rPr>
        <w:t>Current Public Information Failure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991"/>
        <w:spacing w:after="0" w:line="312" w:lineRule="auto"/>
        <w:rPr>
          <w:sz w:val="20"/>
          <w:szCs w:val="20"/>
          <w:color w:val="auto"/>
        </w:rPr>
      </w:pPr>
      <w:r>
        <w:rPr>
          <w:rFonts w:ascii="Times New Roman" w:cs="Times New Roman" w:eastAsia="Times New Roman" w:hAnsi="Times New Roman"/>
          <w:sz w:val="17"/>
          <w:szCs w:val="17"/>
          <w:color w:val="auto"/>
        </w:rPr>
        <w:t>b. file with the SEC all reports and other documents required of the Company under the Securities Act and the Exchange Act so long as the Company remains subject to such requirements and the filing of such reports and other documents is required for the applicable provisions of Rule 144;</w:t>
      </w:r>
    </w:p>
    <w:p>
      <w:pPr>
        <w:spacing w:after="0" w:line="140"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t>c. furnish to the Investor so long as the Investor owns Registrable Securities, promptly upon request (i) a written statement by the Company that it has complied with the reporting and or disclosure provisions of Rule 144(c) with a confirmation that no Current Public Information Failure has occurred, the Securities Act and the Exchange Act, (ii) a copy of the most recent annual or quarterly report of the Company and such other reports and documents so filed by the Company, and (iii) such other information as may be reasonably requested to permit the Investor to sell such securities pursuant to Rule 144 without registration; and</w:t>
      </w:r>
    </w:p>
    <w:p>
      <w:pPr>
        <w:spacing w:after="0" w:line="183"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d. take such additional action as is reasonably requested by the Investor to enable the Investor to sell the Registrable Securities pursuant to Rule 144, including, without limitation, delivering all such legal opinions, consents, certificates, resolutions and instructions to the Transfer Agent as may be reasonably requested from time to time by the Investor and otherwise reasonably cooperate with the Investor and the Investor’s broker to effect such sale of securities pursuant to Rule 144; provided, however, the Investor shall provide such documents as may be reasonably required by the Transfer Agent in connection therewith, including any written representations or certifications of the Investor or its broker (which shall not include any opinion of the Investor’s counsel) that may be required by the Transfer Agent in connection therewith.</w:t>
      </w:r>
    </w:p>
    <w:p>
      <w:pPr>
        <w:spacing w:after="0" w:line="187" w:lineRule="exact"/>
        <w:rPr>
          <w:sz w:val="20"/>
          <w:szCs w:val="20"/>
          <w:color w:val="auto"/>
        </w:rPr>
      </w:pPr>
    </w:p>
    <w:p>
      <w:pPr>
        <w:ind w:right="4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The Company agrees that damages may be an inadequate remedy for any breach of the terms and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that Investor shall, whether or not it is pursuing any remedies at law, be entitled to seek equitable relief in the form of a preliminary or permanent injunctions, without having to post any bond or other security, upon any breach or threatened breach of any such terms or provisions.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137" w:name="page138"/>
    <w:bookmarkEnd w:id="137"/>
    <w:p>
      <w:pPr>
        <w:ind w:left="620" w:hanging="184"/>
        <w:spacing w:after="0"/>
        <w:tabs>
          <w:tab w:leader="none" w:pos="6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OF 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The Company shall not assign this Agreement or any rights or obligations hereunder without the prior written consent of the Investor; provided, however, that any transaction, whether by merger, reorganization, restructuring, consolidation, financing or otherwise, including but not limited to any Fundamental Transaction (as defined in the Certificate of Designation), shall not be deemed an assignment. The Investor may not assign its rights under this Agreement without the prior written consent of the Company, other than to an affiliate of the Investor, in which case the assignee must agree in writing to be bound by the terms and conditions of this Agreement.</w:t>
      </w:r>
    </w:p>
    <w:p>
      <w:pPr>
        <w:spacing w:after="0" w:line="183" w:lineRule="exact"/>
        <w:rPr>
          <w:sz w:val="20"/>
          <w:szCs w:val="20"/>
          <w:color w:val="auto"/>
        </w:rPr>
      </w:pPr>
    </w:p>
    <w:p>
      <w:pPr>
        <w:ind w:left="700" w:hanging="264"/>
        <w:spacing w:after="0"/>
        <w:tabs>
          <w:tab w:leader="none" w:pos="7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This Agreement may not be (i) amended other than by a written instrument signed by both parties hereto or (ii) waived other than in a written instrument signed by the party against whom enforcement of such waiver is sought. Failure of any party to exercise any right or remedy under this Agreement or otherwise, or delay by a party in exercising such right or remedy, shall not operate as a waiver thereof.</w:t>
      </w:r>
    </w:p>
    <w:p>
      <w:pPr>
        <w:spacing w:after="0" w:line="176" w:lineRule="exact"/>
        <w:rPr>
          <w:sz w:val="20"/>
          <w:szCs w:val="20"/>
          <w:color w:val="auto"/>
        </w:rPr>
      </w:pPr>
    </w:p>
    <w:p>
      <w:pPr>
        <w:ind w:left="700" w:hanging="264"/>
        <w:spacing w:after="0"/>
        <w:tabs>
          <w:tab w:leader="none" w:pos="7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987"/>
        <w:spacing w:after="0" w:line="261" w:lineRule="auto"/>
        <w:tabs>
          <w:tab w:leader="none" w:pos="1161"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is deemed to be a holder of 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the registered owner of such Registrable Securities as set forth on the books and records of the Transfer Agent.</w:t>
      </w:r>
    </w:p>
    <w:p>
      <w:pPr>
        <w:spacing w:after="0" w:line="179" w:lineRule="exact"/>
        <w:rPr>
          <w:rFonts w:ascii="Times New Roman" w:cs="Times New Roman" w:eastAsia="Times New Roman" w:hAnsi="Times New Roman"/>
          <w:sz w:val="18"/>
          <w:szCs w:val="18"/>
          <w:color w:val="auto"/>
        </w:rPr>
      </w:pPr>
    </w:p>
    <w:p>
      <w:pPr>
        <w:ind w:firstLine="987"/>
        <w:spacing w:after="0" w:line="281" w:lineRule="auto"/>
        <w:tabs>
          <w:tab w:leader="none" w:pos="1171"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notices, consents or other communications required or permitted to be given under the terms of this Agreement must be in writing and will be deemed to have been delivered: (i) upon receipt when delivered personally; (ii) upon receipt when sent by email (provided confirmation of transmission is mechanically or electronically generated and kept on file by the sending party); or (iii) one Business Day after deposit with a nationally recognized overnight delivery service, in each case properly addressed to the party to receive the same. The addresses for such communications shall be:</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Jaguar Health,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200 Pine Street, Suite 400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San Francisco, California 94104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copies to (which shall not constitute notice or service of process):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Donald C. Reinke, Esq.</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Reed Smith LLP</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1841 Page Mill Road, Suite 110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DReinke@ReedSmith.com</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138" w:name="page139"/>
    <w:bookmarkEnd w:id="13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Investor:</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C/M Capital Master Fund, 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1111 Brickell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Suite 2920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Miami, Florida 33131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thomas@cm-funds.com/jonathan@cm-funds.com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Thomas Walsh/Jonathan Juchno</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 (which shall not constitute notice or service of process):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Pryor Cashman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7 Times Square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M. Ali Panjwani, Esq.</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ali.panjwani@pryorcashman.com</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If to the Transfer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tabs>
          <w:tab w:leader="none" w:pos="2180" w:val="left"/>
        </w:tabs>
        <w:rPr>
          <w:sz w:val="20"/>
          <w:szCs w:val="20"/>
          <w:color w:val="auto"/>
        </w:rPr>
      </w:pPr>
      <w:r>
        <w:rPr>
          <w:rFonts w:ascii="Times New Roman" w:cs="Times New Roman" w:eastAsia="Times New Roman" w:hAnsi="Times New Roman"/>
          <w:sz w:val="18"/>
          <w:szCs w:val="18"/>
          <w:color w:val="auto"/>
        </w:rPr>
        <w:t xml:space="preserve">[                 </w:t>
        <w:tab/>
        <w:t>]</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________</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___________</w:t>
      </w:r>
    </w:p>
    <w:p>
      <w:pPr>
        <w:spacing w:after="0" w:line="20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or at such other address and/or email address and/or to the attention of such other Person as the recipient party has specified by written notice given to each other party three (3) Business Days prior to the effectiveness of such change. Written confirmation of receipt (A) given by the recipient of such notice, consent or other communication, (B) mechanically or electronically generated by the sender’s email account containing the time, date, and recipient email address, as applicable or (C) provided by a nationally recognized overnight delivery service, shall be rebuttable evidence of personal service, or receipt from a nationally recognized overnight delivery service in accordance with clause (i), (ii) or (iii) above, respectively.</w:t>
      </w:r>
    </w:p>
    <w:p>
      <w:pPr>
        <w:spacing w:after="0" w:line="183"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c. This Agreement, and all claims or cause of action (whether in contract, tort or statute)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shall be governed by and construed and enforced in accordance with the internal laws of the State of Delaware without regard to conflict of law principles that would result in the application of any law other than the law of the State of Delaware. The parties (a) hereby irrevocably and unconditionally submit to the exclusive jurisdiction of (I) the state courts of Delaware and (II) the United States District Court in the City and County of Wilmington, New Castle County for the purpose of any suit, action or other proceeding arising out of or based upon this Agreement, (b) agree not to commence any suit, action or other proceeding arising out of or based upon this Agreement except in the state courts of Delaware or the United States District Court in the City and County of Wilmington, New Castle County,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 </w:t>
      </w:r>
      <w:r>
        <w:rPr>
          <w:rFonts w:ascii="Times New Roman" w:cs="Times New Roman" w:eastAsia="Times New Roman" w:hAnsi="Times New Roman"/>
          <w:sz w:val="18"/>
          <w:szCs w:val="18"/>
          <w:b w:val="1"/>
          <w:bCs w:val="1"/>
          <w:color w:val="auto"/>
        </w:rPr>
        <w:t>EACH PARTY HEREBY WAIVES ITS</w:t>
      </w:r>
    </w:p>
    <w:p>
      <w:pPr>
        <w:spacing w:after="0" w:line="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t>RIGHTS TO A JURY TRIAL OF ANY CLAIM OR CAUSE OF ACTION BASED UPON OR ARISING OUT OF THIS AGREEMENT, THE OTHER TRANSACTION DOCUMENTS, THE SECURITIES OR THE SUBJECT MATTER HEREOF OR THEREOF. THE SCOPE OF THIS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39" w:name="page140"/>
    <w:bookmarkEnd w:id="139"/>
    <w:p>
      <w:pPr>
        <w:ind w:right="240"/>
        <w:spacing w:after="0" w:line="273"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d. This Agreement and the Purchase Agreement constitute the entire agreement among the parties hereto with respect to the subject matter hereof and thereof. There are no restrictions, promises, warranties or undertakings among the parties hereto, other than those set forth or referred to herein and therein. This Agreement and the Purchase Agreement supersede all prior agreements and understandings among the parties hereto with respect to the subject matter hereof and thereof.</w:t>
      </w:r>
    </w:p>
    <w:p>
      <w:pPr>
        <w:spacing w:after="0" w:line="180"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e. This Agreement is intended for the benefit of the parties hereto and, subject to the requirements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their successors and permitted assigns and, except as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with respect to those Persons entitled to indemnity thereunder, is not for the benefit of, nor may any provision hereof be enforced by, any other Person.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The headings in this Agreement are for convenience of reference only and shall not limit or otherwise affect the meaning hereof.</w:t>
      </w:r>
    </w:p>
    <w:p>
      <w:pPr>
        <w:spacing w:after="0" w:line="225"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g. This Agreement may be executed in two or more identical counterparts, all of which shall be considered one and the same agreement and shall become effective when counterparts have been signed by each party and delivered to the other party; provided that a facsimile signature or signature delivered by e-mail in a “.pdf” format data file, including any electronic signature complying with the U.S. federal ESIGN Act of 2000, e.g., www.docusign.com, www.echosign.adobe.com, etc., shall be considered due execution and shall be binding upon the signatory thereto with the same force and effect as if the signature were an original signature.</w:t>
      </w:r>
    </w:p>
    <w:p>
      <w:pPr>
        <w:spacing w:after="0" w:line="183"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h.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6"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i. The language used in this Agreement will be deemed to be the language chosen by the parties to express their mutual intent and no rules of strict construction will be applied against any party. The term “or” shall not be exclusive.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7"/>
          <w:szCs w:val="17"/>
          <w:color w:val="auto"/>
        </w:rPr>
        <w:t>the parties have caused this Registration Rights Agreement to be duly executed as of the Execution Date.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JAGUAR HEALTH,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Lisa A. Conte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Lisa A. Conte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Executive Officer and President</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C/M Capital Master Fund,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Thomas Walsh_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Thomas Walsh</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680"/>
          </w:cols>
          <w:pgMar w:left="880" w:top="266" w:right="1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TO REGISTRATION RIGHTS AGREEMENT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NOTICE OF EFFECTIVENESS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REGISTRATION STATEMENT</w:t>
      </w:r>
    </w:p>
    <w:p>
      <w:pPr>
        <w:sectPr>
          <w:pgSz w:w="11900" w:h="16838" w:orient="portrait"/>
          <w:cols w:equalWidth="0" w:num="1">
            <w:col w:w="9019"/>
          </w:cols>
          <w:pgMar w:left="1440" w:top="266" w:right="1440"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TO REGISTRATION RIGHTS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Information About The Investor Furnished To The Company By The Investor</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Expressly For Use In Connection With The Registration Statement</w:t>
      </w:r>
    </w:p>
    <w:p>
      <w:pPr>
        <w:sectPr>
          <w:pgSz w:w="11900" w:h="16838" w:orient="portrait"/>
          <w:cols w:equalWidth="0" w:num="1">
            <w:col w:w="9019"/>
          </w:cols>
          <w:pgMar w:left="1440" w:top="266" w:right="1440"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 PURCHASE AGREEMENT</w:t>
      </w:r>
    </w:p>
    <w:p>
      <w:pPr>
        <w:spacing w:after="0" w:line="225" w:lineRule="exact"/>
        <w:rPr>
          <w:sz w:val="20"/>
          <w:szCs w:val="20"/>
          <w:color w:val="auto"/>
        </w:rPr>
      </w:pPr>
    </w:p>
    <w:p>
      <w:pPr>
        <w:jc w:val="both"/>
        <w:ind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PREFERRED STOCK PURCHASE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June 9, 2026 (“</w:t>
      </w:r>
      <w:r>
        <w:rPr>
          <w:rFonts w:ascii="Times New Roman" w:cs="Times New Roman" w:eastAsia="Times New Roman" w:hAnsi="Times New Roman"/>
          <w:sz w:val="18"/>
          <w:szCs w:val="18"/>
          <w:b w:val="1"/>
          <w:bCs w:val="1"/>
          <w:color w:val="auto"/>
        </w:rPr>
        <w:t>Execution Date</w:t>
      </w:r>
      <w:r>
        <w:rPr>
          <w:rFonts w:ascii="Times New Roman" w:cs="Times New Roman" w:eastAsia="Times New Roman" w:hAnsi="Times New Roman"/>
          <w:sz w:val="18"/>
          <w:szCs w:val="18"/>
          <w:color w:val="auto"/>
        </w:rPr>
        <w:t>”), is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among </w:t>
      </w:r>
      <w:r>
        <w:rPr>
          <w:rFonts w:ascii="Times New Roman" w:cs="Times New Roman" w:eastAsia="Times New Roman" w:hAnsi="Times New Roman"/>
          <w:sz w:val="18"/>
          <w:szCs w:val="18"/>
          <w:b w:val="1"/>
          <w:bCs w:val="1"/>
          <w:color w:val="auto"/>
        </w:rPr>
        <w:t>Jaguar Health,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accredited investor named on the signature page to this Agreement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56" w:lineRule="exact"/>
        <w:rPr>
          <w:sz w:val="20"/>
          <w:szCs w:val="20"/>
          <w:color w:val="auto"/>
        </w:rPr>
      </w:pPr>
    </w:p>
    <w:p>
      <w:pPr>
        <w:ind w:left="1420" w:right="40" w:hanging="439"/>
        <w:spacing w:after="0" w:line="266" w:lineRule="auto"/>
        <w:tabs>
          <w:tab w:leader="none" w:pos="14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Buyer are executing and delivering this Agreement in reliance upon the exemption from securities registration afforded by Section 4(a)(2) of the Securities Act of 1933, as amended (the “</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and Rule 506(b) of Regulation D (“</w:t>
      </w:r>
      <w:r>
        <w:rPr>
          <w:rFonts w:ascii="Times New Roman" w:cs="Times New Roman" w:eastAsia="Times New Roman" w:hAnsi="Times New Roman"/>
          <w:sz w:val="18"/>
          <w:szCs w:val="18"/>
          <w:b w:val="1"/>
          <w:bCs w:val="1"/>
          <w:color w:val="auto"/>
        </w:rPr>
        <w:t>Regulation D</w:t>
      </w:r>
      <w:r>
        <w:rPr>
          <w:rFonts w:ascii="Times New Roman" w:cs="Times New Roman" w:eastAsia="Times New Roman" w:hAnsi="Times New Roman"/>
          <w:sz w:val="18"/>
          <w:szCs w:val="18"/>
          <w:color w:val="auto"/>
        </w:rPr>
        <w:t>”) as promulgated by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under the 1933 Act.</w:t>
      </w:r>
    </w:p>
    <w:p>
      <w:pPr>
        <w:spacing w:after="0" w:line="81" w:lineRule="exact"/>
        <w:rPr>
          <w:rFonts w:ascii="Times New Roman" w:cs="Times New Roman" w:eastAsia="Times New Roman" w:hAnsi="Times New Roman"/>
          <w:sz w:val="18"/>
          <w:szCs w:val="18"/>
          <w:color w:val="auto"/>
        </w:rPr>
      </w:pPr>
    </w:p>
    <w:p>
      <w:pPr>
        <w:ind w:left="1420" w:right="40" w:hanging="439"/>
        <w:spacing w:after="0" w:line="254" w:lineRule="auto"/>
        <w:tabs>
          <w:tab w:leader="none" w:pos="14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authorized a new series of preferred stock of the Company designated as Series P Non-Convertible Preferred Stock, $0.0001 par value, the terms of which are set forth in the certificate of designation for such series of Preferred Stock (the “</w:t>
      </w:r>
      <w:r>
        <w:rPr>
          <w:rFonts w:ascii="Times New Roman" w:cs="Times New Roman" w:eastAsia="Times New Roman" w:hAnsi="Times New Roman"/>
          <w:sz w:val="18"/>
          <w:szCs w:val="18"/>
          <w:b w:val="1"/>
          <w:bCs w:val="1"/>
          <w:color w:val="auto"/>
        </w:rPr>
        <w:t>Certificate of Designations</w:t>
      </w:r>
      <w:r>
        <w:rPr>
          <w:rFonts w:ascii="Times New Roman" w:cs="Times New Roman" w:eastAsia="Times New Roman" w:hAnsi="Times New Roman"/>
          <w:sz w:val="18"/>
          <w:szCs w:val="18"/>
          <w:color w:val="auto"/>
        </w:rPr>
        <w:t xml:space="preserve">”)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Series P Preferred Stock</w:t>
      </w:r>
      <w:r>
        <w:rPr>
          <w:rFonts w:ascii="Times New Roman" w:cs="Times New Roman" w:eastAsia="Times New Roman" w:hAnsi="Times New Roman"/>
          <w:sz w:val="18"/>
          <w:szCs w:val="18"/>
          <w:color w:val="auto"/>
        </w:rPr>
        <w:t>”), which Series P Preferred Stock shall be redeemable into shares of the Company’s voting common stock, $0.0001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(such shares of Common Stock issued and issuable pursuant to the terms of the Certificate of Designations, including, without limitation, upon redemption or otherwise, collectively, the “</w:t>
      </w:r>
      <w:r>
        <w:rPr>
          <w:rFonts w:ascii="Times New Roman" w:cs="Times New Roman" w:eastAsia="Times New Roman" w:hAnsi="Times New Roman"/>
          <w:sz w:val="18"/>
          <w:szCs w:val="18"/>
          <w:b w:val="1"/>
          <w:bCs w:val="1"/>
          <w:color w:val="auto"/>
        </w:rPr>
        <w:t>Redemption Shares</w:t>
      </w:r>
      <w:r>
        <w:rPr>
          <w:rFonts w:ascii="Times New Roman" w:cs="Times New Roman" w:eastAsia="Times New Roman" w:hAnsi="Times New Roman"/>
          <w:sz w:val="18"/>
          <w:szCs w:val="18"/>
          <w:color w:val="auto"/>
        </w:rPr>
        <w:t>”), or pre-funded warrants to purchase Common Stock in lieu of the Redemption Shares (the “</w:t>
      </w:r>
      <w:r>
        <w:rPr>
          <w:rFonts w:ascii="Times New Roman" w:cs="Times New Roman" w:eastAsia="Times New Roman" w:hAnsi="Times New Roman"/>
          <w:sz w:val="18"/>
          <w:szCs w:val="18"/>
          <w:b w:val="1"/>
          <w:bCs w:val="1"/>
          <w:color w:val="auto"/>
        </w:rPr>
        <w:t>Redemption Pre-Funded Warrants</w:t>
      </w:r>
      <w:r>
        <w:rPr>
          <w:rFonts w:ascii="Times New Roman" w:cs="Times New Roman" w:eastAsia="Times New Roman" w:hAnsi="Times New Roman"/>
          <w:sz w:val="18"/>
          <w:szCs w:val="18"/>
          <w:color w:val="auto"/>
        </w:rPr>
        <w:t>” and, shares of Common Stock issuable upon exercise of the Redemption Pre-Funded Warrants, the “</w:t>
      </w:r>
      <w:r>
        <w:rPr>
          <w:rFonts w:ascii="Times New Roman" w:cs="Times New Roman" w:eastAsia="Times New Roman" w:hAnsi="Times New Roman"/>
          <w:sz w:val="18"/>
          <w:szCs w:val="18"/>
          <w:b w:val="1"/>
          <w:bCs w:val="1"/>
          <w:color w:val="auto"/>
        </w:rPr>
        <w:t>Redemption Warrant Shares</w:t>
      </w:r>
      <w:r>
        <w:rPr>
          <w:rFonts w:ascii="Times New Roman" w:cs="Times New Roman" w:eastAsia="Times New Roman" w:hAnsi="Times New Roman"/>
          <w:sz w:val="18"/>
          <w:szCs w:val="18"/>
          <w:color w:val="auto"/>
        </w:rPr>
        <w:t>”), in accordance with the terms of the Certificate of Designations.</w:t>
      </w:r>
    </w:p>
    <w:p>
      <w:pPr>
        <w:spacing w:after="0" w:line="93" w:lineRule="exact"/>
        <w:rPr>
          <w:rFonts w:ascii="Times New Roman" w:cs="Times New Roman" w:eastAsia="Times New Roman" w:hAnsi="Times New Roman"/>
          <w:sz w:val="18"/>
          <w:szCs w:val="18"/>
          <w:color w:val="auto"/>
        </w:rPr>
      </w:pPr>
    </w:p>
    <w:p>
      <w:pPr>
        <w:ind w:left="1420" w:right="700" w:hanging="439"/>
        <w:spacing w:after="0" w:line="312" w:lineRule="auto"/>
        <w:tabs>
          <w:tab w:leader="none" w:pos="14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Buyer wishes to purchase, and the Company wishes to sell, upon the terms and conditions stated in this Agreement, the aggregate number of shares of Series P Preferred Stock (the “</w:t>
      </w:r>
      <w:r>
        <w:rPr>
          <w:rFonts w:ascii="Times New Roman" w:cs="Times New Roman" w:eastAsia="Times New Roman" w:hAnsi="Times New Roman"/>
          <w:sz w:val="17"/>
          <w:szCs w:val="17"/>
          <w:b w:val="1"/>
          <w:bCs w:val="1"/>
          <w:color w:val="auto"/>
        </w:rPr>
        <w:t>Preferred Shares</w:t>
      </w:r>
      <w:r>
        <w:rPr>
          <w:rFonts w:ascii="Times New Roman" w:cs="Times New Roman" w:eastAsia="Times New Roman" w:hAnsi="Times New Roman"/>
          <w:sz w:val="17"/>
          <w:szCs w:val="17"/>
          <w:color w:val="auto"/>
        </w:rPr>
        <w:t>”) set forth on the signature page hereto.</w:t>
      </w:r>
    </w:p>
    <w:p>
      <w:pPr>
        <w:spacing w:after="0" w:line="41" w:lineRule="exact"/>
        <w:rPr>
          <w:rFonts w:ascii="Times New Roman" w:cs="Times New Roman" w:eastAsia="Times New Roman" w:hAnsi="Times New Roman"/>
          <w:sz w:val="17"/>
          <w:szCs w:val="17"/>
          <w:color w:val="auto"/>
        </w:rPr>
      </w:pPr>
    </w:p>
    <w:p>
      <w:pPr>
        <w:ind w:left="1420" w:right="160" w:hanging="439"/>
        <w:spacing w:after="0" w:line="262" w:lineRule="auto"/>
        <w:tabs>
          <w:tab w:leader="none" w:pos="14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Closing, the parties hereto shall execute and deliver a Registration Rights Agreement, in the form attached hereto as </w:t>
      </w:r>
      <w:r>
        <w:rPr>
          <w:rFonts w:ascii="Times New Roman" w:cs="Times New Roman" w:eastAsia="Times New Roman" w:hAnsi="Times New Roman"/>
          <w:sz w:val="18"/>
          <w:szCs w:val="18"/>
          <w:b w:val="1"/>
          <w:bCs w:val="1"/>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pursuant to which the Company has agreed to provide certain registration rights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Registrable Securities (as defined in the Registration Rights Agreement), under the 1933 Act and the rules and regulations promulgated thereunder, and applicable state securities laws.</w:t>
      </w:r>
    </w:p>
    <w:p>
      <w:pPr>
        <w:spacing w:after="0" w:line="85" w:lineRule="exact"/>
        <w:rPr>
          <w:rFonts w:ascii="Times New Roman" w:cs="Times New Roman" w:eastAsia="Times New Roman" w:hAnsi="Times New Roman"/>
          <w:sz w:val="18"/>
          <w:szCs w:val="18"/>
          <w:color w:val="auto"/>
        </w:rPr>
      </w:pPr>
    </w:p>
    <w:p>
      <w:pPr>
        <w:ind w:left="1420" w:right="280" w:hanging="439"/>
        <w:spacing w:after="0" w:line="282" w:lineRule="auto"/>
        <w:tabs>
          <w:tab w:leader="none" w:pos="14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Shares, the Redemption Shares, the Pre-Funded Warrants and the Warrant Shares (both terms as defined below) are collectively referred to herein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contained herein and for other good and valuable consideration, the receipt and sufficiency of which are hereby acknowledged, the Company and the Buyer hereby agree as follows:</w:t>
      </w:r>
    </w:p>
    <w:p>
      <w:pPr>
        <w:spacing w:after="0" w:line="306" w:lineRule="exact"/>
        <w:rPr>
          <w:sz w:val="20"/>
          <w:szCs w:val="20"/>
          <w:color w:val="auto"/>
        </w:rPr>
      </w:pPr>
    </w:p>
    <w:p>
      <w:pPr>
        <w:ind w:left="960" w:hanging="532"/>
        <w:spacing w:after="0"/>
        <w:tabs>
          <w:tab w:leader="none" w:pos="9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AND SALE OF PREFERRED SHARES.</w:t>
      </w:r>
    </w:p>
    <w:p>
      <w:pPr>
        <w:spacing w:after="0" w:line="134" w:lineRule="exact"/>
        <w:rPr>
          <w:rFonts w:ascii="Times New Roman" w:cs="Times New Roman" w:eastAsia="Times New Roman" w:hAnsi="Times New Roman"/>
          <w:sz w:val="18"/>
          <w:szCs w:val="18"/>
          <w:b w:val="1"/>
          <w:bCs w:val="1"/>
          <w:color w:val="auto"/>
        </w:rPr>
      </w:pPr>
    </w:p>
    <w:p>
      <w:pPr>
        <w:ind w:left="1420" w:right="420" w:hanging="439"/>
        <w:spacing w:after="0" w:line="266" w:lineRule="auto"/>
        <w:tabs>
          <w:tab w:leader="none" w:pos="14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Preferred Shares</w:t>
      </w:r>
      <w:r>
        <w:rPr>
          <w:rFonts w:ascii="Times New Roman" w:cs="Times New Roman" w:eastAsia="Times New Roman" w:hAnsi="Times New Roman"/>
          <w:sz w:val="18"/>
          <w:szCs w:val="18"/>
          <w:color w:val="auto"/>
        </w:rPr>
        <w:t>. Subject to the satisfaction (or waiver) of the conditions set forth in Sections 6 and 7 below, the Company shall issue and the Buyer agrees to purchase from the Company on the Closing Date (as defined below) the aggregate number of Preferred Shares as is set forth on the signature page to this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144" w:name="page145"/>
    <w:bookmarkEnd w:id="144"/>
    <w:p>
      <w:pPr>
        <w:ind w:left="439" w:hanging="439"/>
        <w:spacing w:after="0" w:line="254" w:lineRule="auto"/>
        <w:tabs>
          <w:tab w:leader="none" w:pos="43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Closing</w:t>
      </w:r>
      <w:r>
        <w:rPr>
          <w:rFonts w:ascii="Times New Roman" w:cs="Times New Roman" w:eastAsia="Times New Roman" w:hAnsi="Times New Roman"/>
          <w:sz w:val="18"/>
          <w:szCs w:val="18"/>
          <w:color w:val="auto"/>
        </w:rPr>
        <w:t>. The closing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of the purchase of the Preferred Shares by the Buyer shall occur at the offices of the Company. The date and time of the Closing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be 10:00 a.m., New York time, on the first (1st) Business Day on which the conditions to the Closing set forth in Sections 6 and 7 below are satisfied or waived (or such other date as is mutually agreed to by the Company and the Buyer). As used herein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93" w:lineRule="exact"/>
        <w:rPr>
          <w:rFonts w:ascii="Times New Roman" w:cs="Times New Roman" w:eastAsia="Times New Roman" w:hAnsi="Times New Roman"/>
          <w:sz w:val="18"/>
          <w:szCs w:val="18"/>
          <w:color w:val="auto"/>
        </w:rPr>
      </w:pPr>
    </w:p>
    <w:p>
      <w:pPr>
        <w:ind w:left="439" w:right="60" w:hanging="439"/>
        <w:spacing w:after="0" w:line="286" w:lineRule="auto"/>
        <w:tabs>
          <w:tab w:leader="none" w:pos="43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aggregate purchase price for the Preferred Shares to be purchased by the Buyer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shall be the amount set forth on the signature page hereto (which shall be subject to the withholding contemplated by Section 4(g)).</w:t>
      </w:r>
    </w:p>
    <w:p>
      <w:pPr>
        <w:spacing w:after="0" w:line="64" w:lineRule="exact"/>
        <w:rPr>
          <w:rFonts w:ascii="Times New Roman" w:cs="Times New Roman" w:eastAsia="Times New Roman" w:hAnsi="Times New Roman"/>
          <w:sz w:val="18"/>
          <w:szCs w:val="18"/>
          <w:color w:val="auto"/>
        </w:rPr>
      </w:pPr>
    </w:p>
    <w:p>
      <w:pPr>
        <w:ind w:left="439" w:right="20" w:hanging="439"/>
        <w:spacing w:after="0" w:line="261" w:lineRule="auto"/>
        <w:tabs>
          <w:tab w:leader="none" w:pos="43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Payment</w:t>
      </w:r>
      <w:r>
        <w:rPr>
          <w:rFonts w:ascii="Times New Roman" w:cs="Times New Roman" w:eastAsia="Times New Roman" w:hAnsi="Times New Roman"/>
          <w:sz w:val="18"/>
          <w:szCs w:val="18"/>
          <w:color w:val="auto"/>
        </w:rPr>
        <w:t>. On the Closing Date, (i) the Buyer shall pay the Purchase Price to the Company for the Preferred Shares to be issued and sold to the Buyer at the Closing, by wire transfer of immediately available funds and (ii) the Company shall deliver to the Buyer the aggregate number of Preferred Shares as is set forth on the signature page hereto duly executed on behalf of the Company and registered in the name of the Buyer or its designee.</w:t>
      </w:r>
    </w:p>
    <w:p>
      <w:pPr>
        <w:spacing w:after="0" w:line="85" w:lineRule="exact"/>
        <w:rPr>
          <w:rFonts w:ascii="Times New Roman" w:cs="Times New Roman" w:eastAsia="Times New Roman" w:hAnsi="Times New Roman"/>
          <w:sz w:val="18"/>
          <w:szCs w:val="18"/>
          <w:color w:val="auto"/>
        </w:rPr>
      </w:pPr>
    </w:p>
    <w:p>
      <w:pPr>
        <w:ind w:left="439" w:right="60" w:hanging="439"/>
        <w:spacing w:after="0" w:line="253" w:lineRule="auto"/>
        <w:tabs>
          <w:tab w:leader="none" w:pos="43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Commencement Shares</w:t>
      </w:r>
      <w:r>
        <w:rPr>
          <w:rFonts w:ascii="Times New Roman" w:cs="Times New Roman" w:eastAsia="Times New Roman" w:hAnsi="Times New Roman"/>
          <w:sz w:val="18"/>
          <w:szCs w:val="18"/>
          <w:color w:val="auto"/>
        </w:rPr>
        <w:t>. In consideration for the Buyer’s execution and delivery of this Agreement, the Company shall issue the Buyer or its designee not later than 4:00 p.m. (New York City time) within one (1) Trading Date after the filing date of the initial Registration Statement (as defined in the Registration Rights Agreement) a pre-funded warrant to purchase Common Stock (the “</w:t>
      </w:r>
      <w:r>
        <w:rPr>
          <w:rFonts w:ascii="Times New Roman" w:cs="Times New Roman" w:eastAsia="Times New Roman" w:hAnsi="Times New Roman"/>
          <w:sz w:val="18"/>
          <w:szCs w:val="18"/>
          <w:b w:val="1"/>
          <w:bCs w:val="1"/>
          <w:color w:val="auto"/>
        </w:rPr>
        <w:t>Commencement Pre-Funded Warrant</w:t>
      </w:r>
      <w:r>
        <w:rPr>
          <w:rFonts w:ascii="Times New Roman" w:cs="Times New Roman" w:eastAsia="Times New Roman" w:hAnsi="Times New Roman"/>
          <w:sz w:val="18"/>
          <w:szCs w:val="18"/>
          <w:color w:val="auto"/>
        </w:rPr>
        <w:t>” and, together with the Redemption Pre-Funded Warrants, collectively the “</w:t>
      </w:r>
      <w:r>
        <w:rPr>
          <w:rFonts w:ascii="Times New Roman" w:cs="Times New Roman" w:eastAsia="Times New Roman" w:hAnsi="Times New Roman"/>
          <w:sz w:val="18"/>
          <w:szCs w:val="18"/>
          <w:b w:val="1"/>
          <w:bCs w:val="1"/>
          <w:color w:val="auto"/>
        </w:rPr>
        <w:t>Pre-Funded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The shares of Common Stock issuable upon exercise of the Commencement Pre-Funded Warrant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Commencement Warrant Shares</w:t>
      </w:r>
      <w:r>
        <w:rPr>
          <w:rFonts w:ascii="Times New Roman" w:cs="Times New Roman" w:eastAsia="Times New Roman" w:hAnsi="Times New Roman"/>
          <w:sz w:val="18"/>
          <w:szCs w:val="18"/>
          <w:color w:val="auto"/>
        </w:rPr>
        <w:t>” and, together with the Redemption Warrant Shares, collectively the “</w:t>
      </w:r>
      <w:r>
        <w:rPr>
          <w:rFonts w:ascii="Times New Roman" w:cs="Times New Roman" w:eastAsia="Times New Roman" w:hAnsi="Times New Roman"/>
          <w:sz w:val="18"/>
          <w:szCs w:val="18"/>
          <w:b w:val="1"/>
          <w:bCs w:val="1"/>
          <w:color w:val="auto"/>
        </w:rPr>
        <w:t>Warrants Shares</w:t>
      </w:r>
      <w:r>
        <w:rPr>
          <w:rFonts w:ascii="Times New Roman" w:cs="Times New Roman" w:eastAsia="Times New Roman" w:hAnsi="Times New Roman"/>
          <w:sz w:val="18"/>
          <w:szCs w:val="18"/>
          <w:color w:val="auto"/>
        </w:rPr>
        <w:t>”) shall be included in the Registration Statement. For the avoidance of doubt, the entire Commencement Pre-Funded Warrant shall be fully earned as of the Closing, regardless of any subsequent termination of this Agreement. The Commencement Pre-Funded Warrant shall be for a number of shares of Common Stock equal to 3% of the Stated Value of the Preferred Shares issued to Buyer at the Closing divided by the greater of (i) the average VWAP of the Common Stock over the five (5) Trading Day period immediately preceding the filing of the initial Registration Statement, and (ii) 20% of the Nasdaq Minimum Price (as defined in Nasdaq Rule 5635(d)(1)(A)) of Common Stock on the Execution Date.</w:t>
      </w:r>
    </w:p>
    <w:p>
      <w:pPr>
        <w:spacing w:after="0" w:line="81" w:lineRule="exact"/>
        <w:rPr>
          <w:rFonts w:ascii="Times New Roman" w:cs="Times New Roman" w:eastAsia="Times New Roman" w:hAnsi="Times New Roman"/>
          <w:sz w:val="18"/>
          <w:szCs w:val="18"/>
          <w:color w:val="auto"/>
        </w:rPr>
      </w:pPr>
    </w:p>
    <w:p>
      <w:pPr>
        <w:ind w:left="4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w:t>
      </w:r>
    </w:p>
    <w:p>
      <w:pPr>
        <w:spacing w:after="0" w:line="113" w:lineRule="exact"/>
        <w:rPr>
          <w:rFonts w:ascii="Times New Roman" w:cs="Times New Roman" w:eastAsia="Times New Roman" w:hAnsi="Times New Roman"/>
          <w:sz w:val="18"/>
          <w:szCs w:val="18"/>
          <w:color w:val="auto"/>
        </w:rPr>
      </w:pPr>
    </w:p>
    <w:p>
      <w:pPr>
        <w:jc w:val="both"/>
        <w:ind w:left="439" w:right="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OTCQB, OTCQX or OTCID (or any successors to any of the foregoing).</w:t>
      </w:r>
    </w:p>
    <w:p>
      <w:pPr>
        <w:spacing w:after="0" w:line="107" w:lineRule="exact"/>
        <w:rPr>
          <w:sz w:val="20"/>
          <w:szCs w:val="20"/>
          <w:color w:val="auto"/>
        </w:rPr>
      </w:pPr>
    </w:p>
    <w:p>
      <w:pPr>
        <w:ind w:left="44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999"/>
          </w:cols>
          <w:pgMar w:left="1421" w:top="266" w:right="479" w:bottom="1440" w:gutter="0" w:footer="0" w:header="0"/>
        </w:sectPr>
      </w:pPr>
    </w:p>
    <w:bookmarkStart w:id="145" w:name="page146"/>
    <w:bookmarkEnd w:id="145"/>
    <w:p>
      <w:pPr>
        <w:ind w:left="1000"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shall mean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not then listed or quoted for trading on OTCQB, OTCQX or OTCID and if prices for the Common Stock are then reported in the Pink Open Market (“</w:t>
      </w:r>
      <w:r>
        <w:rPr>
          <w:rFonts w:ascii="Times New Roman" w:cs="Times New Roman" w:eastAsia="Times New Roman" w:hAnsi="Times New Roman"/>
          <w:sz w:val="18"/>
          <w:szCs w:val="18"/>
          <w:b w:val="1"/>
          <w:bCs w:val="1"/>
          <w:color w:val="auto"/>
        </w:rPr>
        <w:t>Pink Market</w:t>
      </w:r>
      <w:r>
        <w:rPr>
          <w:rFonts w:ascii="Times New Roman" w:cs="Times New Roman" w:eastAsia="Times New Roman" w:hAnsi="Times New Roman"/>
          <w:sz w:val="18"/>
          <w:szCs w:val="18"/>
          <w:color w:val="auto"/>
        </w:rPr>
        <w:t>”) operated by OTC Markets, Inc. (or a similar organization or agency succeeding to its functions of reporting prices), the most recent bid price per share of the Common Stock so reported, or (c) in all other cases, the fair market value of a share of Common Stock as determined by an independent appraiser selected in good faith by the Buyer of a majority in interest of the Securities then outstanding and reasonably acceptable to the Company, the fees and expenses of which shall be paid by the Company.</w:t>
      </w:r>
    </w:p>
    <w:p>
      <w:pPr>
        <w:spacing w:after="0" w:line="334" w:lineRule="exact"/>
        <w:rPr>
          <w:sz w:val="20"/>
          <w:szCs w:val="20"/>
          <w:color w:val="auto"/>
        </w:rPr>
      </w:pPr>
    </w:p>
    <w:p>
      <w:pPr>
        <w:ind w:left="540" w:hanging="532"/>
        <w:spacing w:after="0"/>
        <w:tabs>
          <w:tab w:leader="none" w:pos="5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BUYER’S REPRESENTATIONS AND WARRANTIES.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Buyer represents and warrants to the Company as of the Execution Date and as of the Closing Date:</w:t>
      </w:r>
    </w:p>
    <w:p>
      <w:pPr>
        <w:spacing w:after="0" w:line="130" w:lineRule="exact"/>
        <w:rPr>
          <w:rFonts w:ascii="Times New Roman" w:cs="Times New Roman" w:eastAsia="Times New Roman" w:hAnsi="Times New Roman"/>
          <w:sz w:val="18"/>
          <w:szCs w:val="18"/>
          <w:b w:val="1"/>
          <w:bCs w:val="1"/>
          <w:color w:val="auto"/>
        </w:rPr>
      </w:pPr>
    </w:p>
    <w:p>
      <w:pPr>
        <w:ind w:left="1000" w:right="80" w:hanging="439"/>
        <w:spacing w:after="0" w:line="261" w:lineRule="auto"/>
        <w:tabs>
          <w:tab w:leader="none" w:pos="10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The Buyer is an entity duly organized, validly existing and in good standing under the laws of the jurisdiction of its organization with the requisite power and authority to enter into and to consummate the transactions contemplated by the Transaction Documents (as defined below) to which it is a party and otherwise to carry out its obligations hereunder and thereunder.</w:t>
      </w:r>
    </w:p>
    <w:p>
      <w:pPr>
        <w:spacing w:after="0" w:line="85" w:lineRule="exact"/>
        <w:rPr>
          <w:rFonts w:ascii="Times New Roman" w:cs="Times New Roman" w:eastAsia="Times New Roman" w:hAnsi="Times New Roman"/>
          <w:sz w:val="18"/>
          <w:szCs w:val="18"/>
          <w:color w:val="auto"/>
        </w:rPr>
      </w:pPr>
    </w:p>
    <w:p>
      <w:pPr>
        <w:ind w:left="1000" w:hanging="439"/>
        <w:spacing w:after="0" w:line="253" w:lineRule="auto"/>
        <w:tabs>
          <w:tab w:leader="none" w:pos="10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Public Sale or Distribution</w:t>
      </w:r>
      <w:r>
        <w:rPr>
          <w:rFonts w:ascii="Times New Roman" w:cs="Times New Roman" w:eastAsia="Times New Roman" w:hAnsi="Times New Roman"/>
          <w:sz w:val="18"/>
          <w:szCs w:val="18"/>
          <w:color w:val="auto"/>
        </w:rPr>
        <w:t>. The Buyer (i) is acquiring the Preferred Shares, (ii) the Commencement Pre-Funded Warrant, (iii) upon redemption of the Preferred Shares will acquire the Redemption Shares issuable upon redemption thereof, or the Redemption Pre-Funded Warrants in lieu of the Redemption Shares, and (iv) upon exercise of the Pre-Funded Warrants will acquire the Warrant Shares issuable upon exercise thereof, in each case, for its own account and not with a view towards, or for resale in connection with, the public sale or distribution thereof in violation of applicable securities laws, except pursuant to sales registered or exempted under the 1933 Act; provided, however, by making the representations herein, the Buyer does not agree, or make any representation or warranty, to hold any of the Securities for any minimum or other specific term and reserves the right to dispose of the Securities at any time in accordance with or pursuant to a registration statement or an exemption from registration under the 1933 Act. The Buyer does not presently have any agreement or understanding, directly or indirectly, with any Person to distribute any of the Securities in violation of applicable securities laws. For purposes of this Agreement,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any Governmental Entity or any department or agency thereof.</w:t>
      </w:r>
    </w:p>
    <w:p>
      <w:pPr>
        <w:spacing w:after="0" w:line="95"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 Status</w:t>
      </w:r>
      <w:r>
        <w:rPr>
          <w:rFonts w:ascii="Times New Roman" w:cs="Times New Roman" w:eastAsia="Times New Roman" w:hAnsi="Times New Roman"/>
          <w:sz w:val="18"/>
          <w:szCs w:val="18"/>
          <w:color w:val="auto"/>
        </w:rPr>
        <w:t>. The Buyer is an “accredited investor” as that term is defined in Rule 501(a) of Regulation D.</w:t>
      </w:r>
    </w:p>
    <w:p>
      <w:pPr>
        <w:spacing w:after="0" w:line="130" w:lineRule="exact"/>
        <w:rPr>
          <w:rFonts w:ascii="Times New Roman" w:cs="Times New Roman" w:eastAsia="Times New Roman" w:hAnsi="Times New Roman"/>
          <w:sz w:val="18"/>
          <w:szCs w:val="18"/>
          <w:color w:val="auto"/>
        </w:rPr>
      </w:pPr>
    </w:p>
    <w:p>
      <w:pPr>
        <w:ind w:left="1000" w:right="20" w:hanging="439"/>
        <w:spacing w:after="0" w:line="258" w:lineRule="auto"/>
        <w:tabs>
          <w:tab w:leader="none" w:pos="10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on Exemptions</w:t>
      </w:r>
      <w:r>
        <w:rPr>
          <w:rFonts w:ascii="Times New Roman" w:cs="Times New Roman" w:eastAsia="Times New Roman" w:hAnsi="Times New Roman"/>
          <w:sz w:val="18"/>
          <w:szCs w:val="18"/>
          <w:color w:val="auto"/>
        </w:rPr>
        <w:t>. The Buyer understands that the Securities are being offered and sold to it in reliance on specific exemptions from the registration requirements of United States federal and state securities laws and that the Company is relying in part upon the truth and accuracy of, and the Buyer’s compliance with, the representations, warranties, agreements, acknowledgments and understandings of the Buyer set forth herein in order to determine the availability of such exemptions and the eligibility of the Buyer to acquire the Securities.</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0"/>
          </w:cols>
          <w:pgMar w:left="860" w:top="266" w:right="459" w:bottom="1440" w:gutter="0" w:footer="0" w:header="0"/>
        </w:sectPr>
      </w:pPr>
    </w:p>
    <w:bookmarkStart w:id="146" w:name="page147"/>
    <w:bookmarkEnd w:id="146"/>
    <w:p>
      <w:pPr>
        <w:ind w:left="439" w:right="40" w:hanging="439"/>
        <w:spacing w:after="0" w:line="254" w:lineRule="auto"/>
        <w:tabs>
          <w:tab w:leader="none" w:pos="43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w:t>
      </w:r>
      <w:r>
        <w:rPr>
          <w:rFonts w:ascii="Times New Roman" w:cs="Times New Roman" w:eastAsia="Times New Roman" w:hAnsi="Times New Roman"/>
          <w:sz w:val="18"/>
          <w:szCs w:val="18"/>
          <w:color w:val="auto"/>
        </w:rPr>
        <w:t>. The Buyer and its advisors, if any, have been furnished with all materials relating to the business, finances and operations of the Company and materials relating to the offer and sale of the Securities that have been requested by the Buyer. The Buyer and its advisors, if any, have been afforded the opportunity to review the Transaction Documents (including all exhibits and schedules thereto) and the SEC Documents and ask questions of the Company. Neither such inquiries nor any other due diligence investigations conducted by the Buyer or its advisors, if any, or its representatives shall modify, amend or affect the Buyer’s right to rely on the Company’s representations and warranties contained herein. The Buyer understands that its investment in the Securities involves a high degree of risk. The Buyer has sought such accounting, legal and tax advice as it has considered necessary to make an informed investment decision with respect to its entry into the Transaction Documents and acquisition of the Securities.</w:t>
      </w:r>
    </w:p>
    <w:p>
      <w:pPr>
        <w:spacing w:after="0" w:line="97" w:lineRule="exact"/>
        <w:rPr>
          <w:rFonts w:ascii="Times New Roman" w:cs="Times New Roman" w:eastAsia="Times New Roman" w:hAnsi="Times New Roman"/>
          <w:sz w:val="18"/>
          <w:szCs w:val="18"/>
          <w:color w:val="auto"/>
        </w:rPr>
      </w:pPr>
    </w:p>
    <w:p>
      <w:pPr>
        <w:ind w:left="439" w:right="240" w:hanging="439"/>
        <w:spacing w:after="0" w:line="266" w:lineRule="auto"/>
        <w:tabs>
          <w:tab w:leader="none" w:pos="43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Governmental Review</w:t>
      </w:r>
      <w:r>
        <w:rPr>
          <w:rFonts w:ascii="Times New Roman" w:cs="Times New Roman" w:eastAsia="Times New Roman" w:hAnsi="Times New Roman"/>
          <w:sz w:val="18"/>
          <w:szCs w:val="18"/>
          <w:color w:val="auto"/>
        </w:rPr>
        <w:t>. The Buyer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81" w:lineRule="exact"/>
        <w:rPr>
          <w:rFonts w:ascii="Times New Roman" w:cs="Times New Roman" w:eastAsia="Times New Roman" w:hAnsi="Times New Roman"/>
          <w:sz w:val="18"/>
          <w:szCs w:val="18"/>
          <w:color w:val="auto"/>
        </w:rPr>
      </w:pPr>
    </w:p>
    <w:p>
      <w:pPr>
        <w:ind w:left="439" w:hanging="439"/>
        <w:spacing w:after="0" w:line="252" w:lineRule="auto"/>
        <w:tabs>
          <w:tab w:leader="none" w:pos="43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or Resale</w:t>
      </w:r>
      <w:r>
        <w:rPr>
          <w:rFonts w:ascii="Times New Roman" w:cs="Times New Roman" w:eastAsia="Times New Roman" w:hAnsi="Times New Roman"/>
          <w:sz w:val="18"/>
          <w:szCs w:val="18"/>
          <w:color w:val="auto"/>
        </w:rPr>
        <w:t>. The Buyer understands that except as provided in the Registration Rights Agreement and as may otherwise be expressly provided in this Agreement: (i) the Securities have not been and are not being registered under the 1933 Act or any state securities laws, and may not be offered for sale, sold, assigned or transferred unless (A) subsequently registered thereunder, (B) the Buyer shall have delivered to the Company (if requested by the Company) an opinion of counsel, in a form reasonably acceptable to the Company, to the effect that such Securities to be sold, assigned or transferred may be sold, assigned or transferred pursuant to an exemption from such registration, or (C) the Buyer provides the Company with reasonable assurance that such Securities can be sold, assigned or transferred pursuant to Rule 144 or Rule 144A promulgated under the 1933 Act (or a successor rule thereto) (collectively,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1933 Act) may require compliance with some other exemption under the 1933 Act or the rules and regulations of the SEC promulgated thereunder; and (iii) neither the Company nor any other Person is under any obligation to register the Securities under the 1933 Act or any state securities laws or to comply with the terms and conditions of any exemption thereunder (except as contemplated by the Registration Rights Agreement). Notwithstanding the foregoing, the Securities may be pledged in connection with a bona fide margin account or other loan or financing arrangement secured by the Securities and such pledge of Securities shall not be deemed to be a transfer, sale or assignment of the Securities hereunder, and no Buyer effecting a pledge of Securities shall be required to provide the Company with any notice thereof or otherwise make any delivery to the Company pursuant to this Agreement or any other Transaction Document.</w:t>
      </w:r>
    </w:p>
    <w:p>
      <w:pPr>
        <w:spacing w:after="0" w:line="97" w:lineRule="exact"/>
        <w:rPr>
          <w:rFonts w:ascii="Times New Roman" w:cs="Times New Roman" w:eastAsia="Times New Roman" w:hAnsi="Times New Roman"/>
          <w:sz w:val="18"/>
          <w:szCs w:val="18"/>
          <w:color w:val="auto"/>
        </w:rPr>
      </w:pPr>
    </w:p>
    <w:p>
      <w:pPr>
        <w:ind w:left="439" w:right="120" w:hanging="439"/>
        <w:spacing w:after="0" w:line="258" w:lineRule="auto"/>
        <w:tabs>
          <w:tab w:leader="none" w:pos="43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 Enforcement</w:t>
      </w:r>
      <w:r>
        <w:rPr>
          <w:rFonts w:ascii="Times New Roman" w:cs="Times New Roman" w:eastAsia="Times New Roman" w:hAnsi="Times New Roman"/>
          <w:sz w:val="18"/>
          <w:szCs w:val="18"/>
          <w:color w:val="auto"/>
        </w:rPr>
        <w:t>. This Agreement, the Registration Rights Agreement and such other applicable Transaction Documents have been duly and validly authorized, executed and delivered on behalf of the Buyer and shall constitute the legal, valid and binding obligations of the Buyer enforceable against the Buyer in accordance with their respective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116" w:lineRule="exact"/>
        <w:rPr>
          <w:sz w:val="20"/>
          <w:szCs w:val="20"/>
          <w:color w:val="auto"/>
        </w:rPr>
      </w:pPr>
    </w:p>
    <w:p>
      <w:pPr>
        <w:ind w:left="44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39"/>
          </w:cols>
          <w:pgMar w:left="1421" w:top="270" w:right="439" w:bottom="1440" w:gutter="0" w:footer="0" w:header="0"/>
        </w:sectPr>
      </w:pPr>
    </w:p>
    <w:bookmarkStart w:id="147" w:name="page148"/>
    <w:bookmarkEnd w:id="147"/>
    <w:p>
      <w:pPr>
        <w:ind w:left="439" w:right="40" w:hanging="439"/>
        <w:spacing w:after="0" w:line="272" w:lineRule="auto"/>
        <w:tabs>
          <w:tab w:leader="none" w:pos="439"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Conflicts</w:t>
      </w:r>
      <w:r>
        <w:rPr>
          <w:rFonts w:ascii="Times New Roman" w:cs="Times New Roman" w:eastAsia="Times New Roman" w:hAnsi="Times New Roman"/>
          <w:sz w:val="17"/>
          <w:szCs w:val="17"/>
          <w:color w:val="auto"/>
        </w:rPr>
        <w:t>. The execution, delivery and performance by the Buyer of this Agreement, the Registration Rights Agreement and such other applicable Transaction Documents, and the consummation by the Buyer of the transactions contemplated hereby and thereby will not (i) result in a violation of the organizational documents of the Buyer, or (ii) conflict with, or constitute a default (or an event which with notice or lapse of time or both would become a default) under, or give to others any rights of termination, amendment, acceleration or cancellation of, any agreement, indenture or instrument to which the Buyer is a party, or (iii) result in a violation of any law, rule, regulation, order, judgment or decree (including federal and state securities laws) applicable to the Buyer, except in the case of clauses (ii) and (iii) above, for such conflicts, defaults, rights or violations which could not, individually or in the aggregate, reasonably be expected to have a material adverse effect on the ability of the Buyer to perform its obligations hereunder.</w:t>
      </w:r>
    </w:p>
    <w:p>
      <w:pPr>
        <w:spacing w:after="0" w:line="77" w:lineRule="exact"/>
        <w:rPr>
          <w:rFonts w:ascii="Times New Roman" w:cs="Times New Roman" w:eastAsia="Times New Roman" w:hAnsi="Times New Roman"/>
          <w:sz w:val="17"/>
          <w:szCs w:val="17"/>
          <w:color w:val="auto"/>
        </w:rPr>
      </w:pPr>
    </w:p>
    <w:p>
      <w:pPr>
        <w:ind w:left="439" w:hanging="439"/>
        <w:spacing w:after="0" w:line="261" w:lineRule="auto"/>
        <w:tabs>
          <w:tab w:leader="none" w:pos="43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Buyer</w:t>
      </w:r>
      <w:r>
        <w:rPr>
          <w:rFonts w:ascii="Times New Roman" w:cs="Times New Roman" w:eastAsia="Times New Roman" w:hAnsi="Times New Roman"/>
          <w:sz w:val="18"/>
          <w:szCs w:val="18"/>
          <w:color w:val="auto"/>
        </w:rPr>
        <w:t>. The Buyer,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The Buyer is able to bear the economic risk of an investment in the Securities and, at the present time, is able to afford a complete loss of such investment.</w:t>
      </w:r>
    </w:p>
    <w:p>
      <w:pPr>
        <w:spacing w:after="0" w:line="85" w:lineRule="exact"/>
        <w:rPr>
          <w:rFonts w:ascii="Times New Roman" w:cs="Times New Roman" w:eastAsia="Times New Roman" w:hAnsi="Times New Roman"/>
          <w:sz w:val="18"/>
          <w:szCs w:val="18"/>
          <w:color w:val="auto"/>
        </w:rPr>
      </w:pPr>
    </w:p>
    <w:p>
      <w:pPr>
        <w:ind w:left="439" w:right="100" w:hanging="439"/>
        <w:spacing w:after="0" w:line="268" w:lineRule="auto"/>
        <w:tabs>
          <w:tab w:leader="none" w:pos="439"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Transactions and Confidentiality</w:t>
      </w:r>
      <w:r>
        <w:rPr>
          <w:rFonts w:ascii="Times New Roman" w:cs="Times New Roman" w:eastAsia="Times New Roman" w:hAnsi="Times New Roman"/>
          <w:sz w:val="17"/>
          <w:szCs w:val="17"/>
          <w:color w:val="auto"/>
        </w:rPr>
        <w:t>. Other than consummating the transactions contemplated hereunder, the Buyer has not, nor has any Person acting on behalf of or pursuant to any understanding with the Buyer, directly or indirectly executed any purchases or sales, including short sales, of the securities of the Company during the period commencing as of the time that the Buyer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that the Buyer is a multi-managed investment vehicle whereby separate portfolio managers manage separate portions of the Buyer’s assets and the portfolio managers have no direct knowledge of the investment decisions made by the portfolio managers managing other portions of the Buyer’s assets, the representation set forth above shall only apply with respect to the portion of assets managed by the portfolio manager that made the investment decision to purchase the Securities covered by this Agreement. Other than to other Persons party to this Agreement or to the Buyer’s representatives, including, without limitation, its officers, directors, partners, legal and other advisors, employees, agents and Affiliates, the Buyer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89" w:lineRule="exact"/>
        <w:rPr>
          <w:rFonts w:ascii="Times New Roman" w:cs="Times New Roman" w:eastAsia="Times New Roman" w:hAnsi="Times New Roman"/>
          <w:sz w:val="17"/>
          <w:szCs w:val="17"/>
          <w:color w:val="auto"/>
        </w:rPr>
      </w:pPr>
    </w:p>
    <w:p>
      <w:pPr>
        <w:ind w:left="439" w:right="40" w:hanging="439"/>
        <w:spacing w:after="0" w:line="266" w:lineRule="auto"/>
        <w:tabs>
          <w:tab w:leader="none" w:pos="43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The Buyer is not purchasing the Securities as a result of any advertisement, article, notice or other communication regarding the Securities published in any newspaper, magazine or similar media or broadcast over television or radio or presented at any seminar or, to the knowledge of the Buyer, any other general solicitation or general advertisement.</w:t>
      </w:r>
    </w:p>
    <w:p>
      <w:pPr>
        <w:spacing w:after="0" w:line="108" w:lineRule="exact"/>
        <w:rPr>
          <w:sz w:val="20"/>
          <w:szCs w:val="20"/>
          <w:color w:val="auto"/>
        </w:rPr>
      </w:pPr>
    </w:p>
    <w:p>
      <w:pPr>
        <w:ind w:left="44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39"/>
          </w:cols>
          <w:pgMar w:left="1421" w:top="270" w:right="439" w:bottom="1440" w:gutter="0" w:footer="0" w:header="0"/>
        </w:sectPr>
      </w:pPr>
    </w:p>
    <w:bookmarkStart w:id="148" w:name="page149"/>
    <w:bookmarkEnd w:id="148"/>
    <w:p>
      <w:pPr>
        <w:ind w:left="960" w:hanging="532"/>
        <w:spacing w:after="0"/>
        <w:tabs>
          <w:tab w:leader="none" w:pos="9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 OF THE COMPANY.</w:t>
      </w:r>
    </w:p>
    <w:p>
      <w:pPr>
        <w:spacing w:after="0" w:line="121"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Except as set forth in the Disclosure Schedules, which Disclosure Schedules shall be deemed a part hereof and shall qualify any representation made herein to the extent of the disclosure contained in the corresponding section of the Disclosure Schedules, the Company represents and warrants to the Buyer that, as of the Execution Date and as of the Closing Date:</w:t>
      </w:r>
    </w:p>
    <w:p>
      <w:pPr>
        <w:spacing w:after="0" w:line="81" w:lineRule="exact"/>
        <w:rPr>
          <w:sz w:val="20"/>
          <w:szCs w:val="20"/>
          <w:color w:val="auto"/>
        </w:rPr>
      </w:pPr>
    </w:p>
    <w:p>
      <w:pPr>
        <w:ind w:left="1420" w:right="40" w:hanging="439"/>
        <w:spacing w:after="0" w:line="252" w:lineRule="auto"/>
        <w:tabs>
          <w:tab w:leader="none" w:pos="14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Each of the Company and each of its Subsidiaries are entities duly organized and validly existing and in good standing under the laws of the jurisdiction in which they are formed, and have the requisite power and authority to own their properties and to carry on their business as now being conducted and as presently proposed to be conducted. Each of the Company and each of its Subsidiaries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any material adverse effect on (i) the business, properties, assets, liabilities, operations (including results thereof), condition (financial or otherwise) or prospects of the Company and Subsidiary, individually or taken as a whole, (ii) the transactions contemplated hereby or in any of the other Transaction Documents or any other agreements or instruments to be entered into in connection herewith or therewith or (iii) the authority or ability of the Company or any of its Subsidiaries to perform any of their respective obligations under any of the Transaction Documents (as defined below). The Company’s Subsidiaries are set forth on Schedule 3(a).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means any subsidiary of the Company as set forth in the SEC Documents, and shall, where applicable, also include any direct or indirect subsidiary of the Company formed or acquired after the date hereof.</w:t>
      </w:r>
    </w:p>
    <w:p>
      <w:pPr>
        <w:spacing w:after="0" w:line="102" w:lineRule="exact"/>
        <w:rPr>
          <w:rFonts w:ascii="Times New Roman" w:cs="Times New Roman" w:eastAsia="Times New Roman" w:hAnsi="Times New Roman"/>
          <w:sz w:val="18"/>
          <w:szCs w:val="18"/>
          <w:color w:val="auto"/>
        </w:rPr>
      </w:pPr>
    </w:p>
    <w:p>
      <w:pPr>
        <w:ind w:left="1420" w:hanging="439"/>
        <w:spacing w:after="0" w:line="252" w:lineRule="auto"/>
        <w:tabs>
          <w:tab w:leader="none" w:pos="14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 Validity</w:t>
      </w:r>
      <w:r>
        <w:rPr>
          <w:rFonts w:ascii="Times New Roman" w:cs="Times New Roman" w:eastAsia="Times New Roman" w:hAnsi="Times New Roman"/>
          <w:sz w:val="18"/>
          <w:szCs w:val="18"/>
          <w:color w:val="auto"/>
        </w:rPr>
        <w:t>. The Company has the requisite power and authority to enter into and perform its obligations under this Agreement and the other Transaction Documents and to issue the Securities in accordance with the terms hereof and thereof. Each Subsidiary has the requisite power and authority to enter into and perform its obligations under the Transaction Documents to which it is a party. The execution and delivery of this Agreement and the other Transaction Documents by the Company, and the consummation by the Company of the transactions contemplated hereby and thereby (including, without limitation, the issuance of the Preferred Shares and the reservation for issuance and issuance of the Redemption Shares issuable upon redemption of the Preferred Shares have been duly authorized by the Company’s board of directors or other governing body, as applicable, and (other than the Required Approvals) no further filing, consent or authorization is required by the Company, its Subsidiaries, their respective boards of directors or their stockholders or other governing body. This Agreement has been, and the other Transaction Documents to which it is a party will be prior to the Closing,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The Certificate of Designations in the form attached hereto as Exhibit A has been filed with the Secretary of State of the State of Delaware and is in full force and effect, enforceable against the Company in accordance with its terms and has not have been amended.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collectively, this Agreement, the Certificate of Designations, the Registration Rights Agreement, the Commencement Pre-Funded Warrant, the Irrevocable Transfer Agent Instructions (as defined below) and each of the other agreements and instruments entered into or delivered by any of the parties hereto in connection with the transactions contemplated hereby and thereby, as may be amended from time to time.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49" w:name="page150"/>
    <w:bookmarkEnd w:id="149"/>
    <w:p>
      <w:pPr>
        <w:ind w:left="439" w:right="20" w:hanging="439"/>
        <w:spacing w:after="0" w:line="253" w:lineRule="auto"/>
        <w:tabs>
          <w:tab w:leader="none" w:pos="43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Issuance of Securities</w:t>
      </w:r>
      <w:r>
        <w:rPr>
          <w:rFonts w:ascii="Times New Roman" w:cs="Times New Roman" w:eastAsia="Times New Roman" w:hAnsi="Times New Roman"/>
          <w:sz w:val="18"/>
          <w:szCs w:val="18"/>
          <w:color w:val="auto"/>
        </w:rPr>
        <w:t>. The issuance of the Preferred Shares is duly authorized and upon issuance in accordance with the terms of the Transaction Documents shall be validly issued, fully paid and non-assessable and free from all preemptive or similar rights, mortgages, defects, claims, liens, pledges, charges, taxes, rights of first refusal, encumbrances, security interests and other encumbrances (collectively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with respect to the issuance thereof. As of the Closing, the Company shall have reserved from its duly authorized capital stock not less than the sum of 150% of the maximum number of Redemption Shares issuable upon redemption of the Preferred Shares. The Redemption Shares, when issued upon redemption of the Preferred Shares in accordance with the terms of the Certificate of Designations, will be validly issued, fully paid and nonassessable and free from all preemptive or similar rights or Liens with respect to the issue thereof, with the holders being entitled to all rights accorded to a holder of Common Stock. Subject to the accuracy of the representations and warranties of the Buyer in this Agreement, the offer and issuance by the Company of the Securities is exempt from registration under the 1933 Act.</w:t>
      </w:r>
    </w:p>
    <w:p>
      <w:pPr>
        <w:spacing w:after="0" w:line="99" w:lineRule="exact"/>
        <w:rPr>
          <w:rFonts w:ascii="Times New Roman" w:cs="Times New Roman" w:eastAsia="Times New Roman" w:hAnsi="Times New Roman"/>
          <w:sz w:val="18"/>
          <w:szCs w:val="18"/>
          <w:color w:val="auto"/>
        </w:rPr>
      </w:pPr>
    </w:p>
    <w:p>
      <w:pPr>
        <w:ind w:left="439" w:hanging="439"/>
        <w:spacing w:after="0" w:line="253" w:lineRule="auto"/>
        <w:tabs>
          <w:tab w:leader="none" w:pos="43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the Transaction Documents by the Company and the consummation by the Company of the transactions contemplated hereby and thereby (including, without limitation, the issuance of the Preferred Shares and the Redemption Shares and the reservation for issuance of the Redemption Shares) will not (i) result in a violation of the Certificate of Incorporation (as defined below) (including, without limitation, any certificate of designation contained therein), Bylaws (as defined below), certificate of formation, memorandum of association, articles of association, bylaws or other organizational documents of the Company or any of its Subsidiaries, or any capital stock or other securities of the Company or any of its Subsidiaries, (ii) conflict with, or constitute a default (or an event which with notice or lapse of time or both would become a default) in any respect under, or give to others any rights of termination, amendment, acceleration or cancellation of, any agreement, indenture or instrument to which the Company or any of its Subsidiaries is a party, or (iii) result in a violation of any law, rule, regulation, order, judgment or decree (including, without limitation, foreign, federal and state securities laws and regulations and the rules and regulations of the Trading Market on which the Common Stock is listed or quoted and including all applicable foreign, federal and state laws, rules and regulations) applicable to the Company or any of its Subsidiaries or by which any property or asset of the Company or any of its Subsidiaries is bound or affected.</w:t>
      </w:r>
    </w:p>
    <w:p>
      <w:pPr>
        <w:spacing w:after="0" w:line="92" w:lineRule="exact"/>
        <w:rPr>
          <w:rFonts w:ascii="Times New Roman" w:cs="Times New Roman" w:eastAsia="Times New Roman" w:hAnsi="Times New Roman"/>
          <w:sz w:val="18"/>
          <w:szCs w:val="18"/>
          <w:color w:val="auto"/>
        </w:rPr>
      </w:pPr>
    </w:p>
    <w:p>
      <w:pPr>
        <w:ind w:left="439" w:right="20" w:hanging="439"/>
        <w:spacing w:after="0" w:line="253" w:lineRule="auto"/>
        <w:tabs>
          <w:tab w:leader="none" w:pos="43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Neither the Company nor any Subsidiary is required to obtain any consent from, authorization or order of, or make any filing or registration with any Governmental Entity (as defined below) or any regulatory or self-regulatory agency or any other Person, other than the filing with the SEC of one or more Registration Statements in accordance with the requirements of the Registration Rights Agreement, a Form D with the SEC and any other filings as may be required by any state securities agencies, and the Stockholder Approval (as defined hereunder) (collectively the “</w:t>
      </w:r>
      <w:r>
        <w:rPr>
          <w:rFonts w:ascii="Times New Roman" w:cs="Times New Roman" w:eastAsia="Times New Roman" w:hAnsi="Times New Roman"/>
          <w:sz w:val="18"/>
          <w:szCs w:val="18"/>
          <w:b w:val="1"/>
          <w:bCs w:val="1"/>
          <w:color w:val="auto"/>
        </w:rPr>
        <w:t>Required Approvals</w:t>
      </w:r>
      <w:r>
        <w:rPr>
          <w:rFonts w:ascii="Times New Roman" w:cs="Times New Roman" w:eastAsia="Times New Roman" w:hAnsi="Times New Roman"/>
          <w:sz w:val="18"/>
          <w:szCs w:val="18"/>
          <w:color w:val="auto"/>
        </w:rPr>
        <w:t>”), in order for it to execute, deliver or perform any of its respective obligations under or contemplated by the Transaction Documents, in each case, in accordance with the terms hereof or thereof. All of the Required Approvals have been or will be obtained or effected in a timely manner pursuant to the Transaction Documents and in accordance with applicable law, and neither the Company nor any of its Subsidiaries are aware of any facts or circumstances which might prevent the Company or any of its Subsidiaries from obtaining or effecting any of the registration, application or filings contemplated by the</w:t>
      </w:r>
    </w:p>
    <w:p>
      <w:pPr>
        <w:spacing w:after="0" w:line="127" w:lineRule="exact"/>
        <w:rPr>
          <w:sz w:val="20"/>
          <w:szCs w:val="20"/>
          <w:color w:val="auto"/>
        </w:rPr>
      </w:pPr>
    </w:p>
    <w:p>
      <w:pPr>
        <w:ind w:left="44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19"/>
          </w:cols>
          <w:pgMar w:left="1421" w:top="270" w:right="459" w:bottom="1440" w:gutter="0" w:footer="0" w:header="0"/>
        </w:sectPr>
      </w:pPr>
    </w:p>
    <w:bookmarkStart w:id="150" w:name="page151"/>
    <w:bookmarkEnd w:id="150"/>
    <w:p>
      <w:pPr>
        <w:ind w:left="439"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 Documents. The Company is not in violation of the requirements of the Trading Market on which the Common Stock is listed or quoted and has no knowledge of any facts or circumstances which could reasonably lead to delisting or suspension of the Common Stock in the foreseeable future. “</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means any nation, federal, state, county, city,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p>
    <w:p>
      <w:pPr>
        <w:spacing w:after="0" w:line="97" w:lineRule="exact"/>
        <w:rPr>
          <w:sz w:val="20"/>
          <w:szCs w:val="20"/>
          <w:color w:val="auto"/>
        </w:rPr>
      </w:pPr>
    </w:p>
    <w:p>
      <w:pPr>
        <w:ind w:left="439" w:hanging="439"/>
        <w:spacing w:after="0" w:line="253" w:lineRule="auto"/>
        <w:tabs>
          <w:tab w:leader="none" w:pos="43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Buyer’s Purchase of Securities</w:t>
      </w:r>
      <w:r>
        <w:rPr>
          <w:rFonts w:ascii="Times New Roman" w:cs="Times New Roman" w:eastAsia="Times New Roman" w:hAnsi="Times New Roman"/>
          <w:sz w:val="18"/>
          <w:szCs w:val="18"/>
          <w:color w:val="auto"/>
        </w:rPr>
        <w:t>. The Company acknowledges and agrees that the Buyer is acting solely in the capacity of an arm’s length purchaser with respect to the Transaction Documents and the transactions contemplated hereby and thereby and that the Buyer is not (i) an officer or director of the Company or any of its Subsidiaries, (ii) an “affiliate” (as defined in Rule 144) of the Company or any of its Subsidiaries or (iii) to its knowledge, a “beneficial owner” of more than 10% of the shares of Common Stock (as defined for purposes of Rule 13d-3 of the Securities Exchange Act of 1934, as amended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The Company further acknowledges that the Buyer is not acting as a financial advisor or fiduciary of the Company or any of its Subsidiaries (or in any similar capacity) with respect to the Transaction Documents and the transactions contemplated hereby and thereby, and any advice given by the Buyer or any of its representatives or agents in connection with the Transaction Documents and the transactions contemplated hereby and thereby is merely incidental to the Buyer’s purchase of the Securities. The Company further represents to the Buyer that the Company’s decision to enter into the Transaction Documents to which it is a party has been based solely on the independent evaluation by the Company and its representatives.</w:t>
      </w:r>
    </w:p>
    <w:p>
      <w:pPr>
        <w:spacing w:after="0" w:line="97" w:lineRule="exact"/>
        <w:rPr>
          <w:rFonts w:ascii="Times New Roman" w:cs="Times New Roman" w:eastAsia="Times New Roman" w:hAnsi="Times New Roman"/>
          <w:sz w:val="18"/>
          <w:szCs w:val="18"/>
          <w:color w:val="auto"/>
        </w:rPr>
      </w:pPr>
    </w:p>
    <w:p>
      <w:pPr>
        <w:ind w:left="439" w:right="20" w:hanging="439"/>
        <w:spacing w:after="0" w:line="254" w:lineRule="auto"/>
        <w:tabs>
          <w:tab w:leader="none" w:pos="43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 Placement Agent’s Fees</w:t>
      </w:r>
      <w:r>
        <w:rPr>
          <w:rFonts w:ascii="Times New Roman" w:cs="Times New Roman" w:eastAsia="Times New Roman" w:hAnsi="Times New Roman"/>
          <w:sz w:val="18"/>
          <w:szCs w:val="18"/>
          <w:color w:val="auto"/>
        </w:rPr>
        <w:t xml:space="preserve">. Neither the Company, nor any of its Subsidiaries or affiliates, nor any Person acting on its or their behalf, has engaged in any form of general solicitation or general advertising (within the meaning of Regulation D) in connection with the offer or sale of the Securities. The Company shall be responsible for the payment of any placement agent’s fees, financial advisory fees, or brokers’ commissions (other than for Persons engaged by the Buyer(s) or its investment advisor) relating to or arising out of the transactions contemplated hereby as disclosed in </w:t>
      </w:r>
      <w:r>
        <w:rPr>
          <w:rFonts w:ascii="Times New Roman" w:cs="Times New Roman" w:eastAsia="Times New Roman" w:hAnsi="Times New Roman"/>
          <w:sz w:val="18"/>
          <w:szCs w:val="18"/>
          <w:u w:val="single" w:color="auto"/>
          <w:color w:val="auto"/>
        </w:rPr>
        <w:t>Schedule 3(g)</w:t>
      </w:r>
      <w:r>
        <w:rPr>
          <w:rFonts w:ascii="Times New Roman" w:cs="Times New Roman" w:eastAsia="Times New Roman" w:hAnsi="Times New Roman"/>
          <w:sz w:val="18"/>
          <w:szCs w:val="18"/>
          <w:color w:val="auto"/>
        </w:rPr>
        <w:t>. The Company shall pay, and hold the Buyer harmless against, any liability, loss or expense (including, without limitation, attorney’s fees and out-of-pocket expenses) arising in connection with any such claim. Neither the Company nor any of its Subsidiaries has engaged any placement agent or other agent in connection with the offer or sale of the Securities.</w:t>
      </w:r>
    </w:p>
    <w:p>
      <w:pPr>
        <w:spacing w:after="0" w:line="97" w:lineRule="exact"/>
        <w:rPr>
          <w:rFonts w:ascii="Times New Roman" w:cs="Times New Roman" w:eastAsia="Times New Roman" w:hAnsi="Times New Roman"/>
          <w:sz w:val="18"/>
          <w:szCs w:val="18"/>
          <w:color w:val="auto"/>
        </w:rPr>
      </w:pPr>
    </w:p>
    <w:p>
      <w:pPr>
        <w:ind w:left="439" w:right="140" w:hanging="439"/>
        <w:spacing w:after="0" w:line="256" w:lineRule="auto"/>
        <w:tabs>
          <w:tab w:leader="none" w:pos="43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Buyer’s representations and warranties set forth in Section 2, none of the Company, its Subsidiaries or any of their affiliates, nor any Person acting on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the Pre-Funded Warrants under the Securities Act, or (ii) any applicable stockholder approval provisions of any Trading Market on which any of the securities of the Company are listed or designated.</w:t>
      </w:r>
    </w:p>
    <w:p>
      <w:pPr>
        <w:spacing w:after="0" w:line="120" w:lineRule="exact"/>
        <w:rPr>
          <w:sz w:val="20"/>
          <w:szCs w:val="20"/>
          <w:color w:val="auto"/>
        </w:rPr>
      </w:pPr>
    </w:p>
    <w:p>
      <w:pPr>
        <w:ind w:left="44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019"/>
          </w:cols>
          <w:pgMar w:left="1421" w:top="270" w:right="459" w:bottom="1440" w:gutter="0" w:footer="0" w:header="0"/>
        </w:sectPr>
      </w:pPr>
    </w:p>
    <w:bookmarkStart w:id="151" w:name="page152"/>
    <w:bookmarkEnd w:id="151"/>
    <w:p>
      <w:pPr>
        <w:ind w:left="439" w:right="60" w:hanging="439"/>
        <w:spacing w:after="0" w:line="261" w:lineRule="auto"/>
        <w:tabs>
          <w:tab w:leader="none" w:pos="43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Dilutive Effect</w:t>
      </w:r>
      <w:r>
        <w:rPr>
          <w:rFonts w:ascii="Times New Roman" w:cs="Times New Roman" w:eastAsia="Times New Roman" w:hAnsi="Times New Roman"/>
          <w:sz w:val="18"/>
          <w:szCs w:val="18"/>
          <w:color w:val="auto"/>
        </w:rPr>
        <w:t>. The Company understands and acknowledges that the number of Redemption Shares will increase in certain circumstances. The Company further acknowledges that its obligation to issue the Redemption Shares pursuant to the terms of this Agreement and the Certificate of Designations is, absolute and unconditional regardless of the dilutive effect that such issuance may have on the ownership interests of other stockholders of the Company.</w:t>
      </w:r>
    </w:p>
    <w:p>
      <w:pPr>
        <w:spacing w:after="0" w:line="85" w:lineRule="exact"/>
        <w:rPr>
          <w:rFonts w:ascii="Times New Roman" w:cs="Times New Roman" w:eastAsia="Times New Roman" w:hAnsi="Times New Roman"/>
          <w:sz w:val="18"/>
          <w:szCs w:val="18"/>
          <w:color w:val="auto"/>
        </w:rPr>
      </w:pPr>
    </w:p>
    <w:p>
      <w:pPr>
        <w:ind w:left="439" w:right="140" w:hanging="439"/>
        <w:spacing w:after="0" w:line="256" w:lineRule="auto"/>
        <w:tabs>
          <w:tab w:leader="none" w:pos="43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 Rights Agreement</w:t>
      </w:r>
      <w:r>
        <w:rPr>
          <w:rFonts w:ascii="Times New Roman" w:cs="Times New Roman" w:eastAsia="Times New Roman" w:hAnsi="Times New Roman"/>
          <w:sz w:val="18"/>
          <w:szCs w:val="18"/>
          <w:color w:val="auto"/>
        </w:rPr>
        <w:t>. The Company and its board of directors have taken all necessary action, if any, in order to render inapplicable any control share acquisition, interested stockholder, business combination, poison pill (including, without limitation, any distribution under a rights agreement), stockholder rights plan or other similar anti-takeover provision under the Certificate of Incorporation, Bylaws or other organizational documents or the laws of the jurisdiction of its incorporation or otherwise which is or could become applicable to the Buyer as a result of the transactions contemplated by this Agreement, including, without limitation, the Company’s issuance of the Securities and the Buyer’s ownership of the Securities.</w:t>
      </w:r>
    </w:p>
    <w:p>
      <w:pPr>
        <w:spacing w:after="0" w:line="92" w:lineRule="exact"/>
        <w:rPr>
          <w:rFonts w:ascii="Times New Roman" w:cs="Times New Roman" w:eastAsia="Times New Roman" w:hAnsi="Times New Roman"/>
          <w:sz w:val="18"/>
          <w:szCs w:val="18"/>
          <w:color w:val="auto"/>
        </w:rPr>
      </w:pPr>
    </w:p>
    <w:p>
      <w:pPr>
        <w:ind w:left="439" w:hanging="439"/>
        <w:spacing w:after="0" w:line="252" w:lineRule="auto"/>
        <w:tabs>
          <w:tab w:leader="none" w:pos="43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Documents; Financial Statements</w:t>
      </w:r>
      <w:r>
        <w:rPr>
          <w:rFonts w:ascii="Times New Roman" w:cs="Times New Roman" w:eastAsia="Times New Roman" w:hAnsi="Times New Roman"/>
          <w:sz w:val="18"/>
          <w:szCs w:val="18"/>
          <w:color w:val="auto"/>
        </w:rPr>
        <w:t xml:space="preserve">. Except as disclosed in </w:t>
      </w:r>
      <w:r>
        <w:rPr>
          <w:rFonts w:ascii="Times New Roman" w:cs="Times New Roman" w:eastAsia="Times New Roman" w:hAnsi="Times New Roman"/>
          <w:sz w:val="18"/>
          <w:szCs w:val="18"/>
          <w:u w:val="single" w:color="auto"/>
          <w:color w:val="auto"/>
        </w:rPr>
        <w:t>Schedule 3(k)</w:t>
      </w:r>
      <w:r>
        <w:rPr>
          <w:rFonts w:ascii="Times New Roman" w:cs="Times New Roman" w:eastAsia="Times New Roman" w:hAnsi="Times New Roman"/>
          <w:sz w:val="18"/>
          <w:szCs w:val="18"/>
          <w:color w:val="auto"/>
        </w:rPr>
        <w:t>, during the two (2) years prior to the Execution Date, the Company has filed all reports, schedules, forms, proxy statements, statements and other documents required to be filed by it with the SEC pursuant to the reporting requirements of the 1934 Act (all of the foregoing filed prior to the Execution Date and all exhibits and appendices included therein and financial statements, notes and schedules thereto and documents incorporated by reference therein being hereinafter referred to as the “</w:t>
      </w:r>
      <w:r>
        <w:rPr>
          <w:rFonts w:ascii="Times New Roman" w:cs="Times New Roman" w:eastAsia="Times New Roman" w:hAnsi="Times New Roman"/>
          <w:sz w:val="18"/>
          <w:szCs w:val="18"/>
          <w:b w:val="1"/>
          <w:bCs w:val="1"/>
          <w:color w:val="auto"/>
        </w:rPr>
        <w:t>SEC Documents</w:t>
      </w:r>
      <w:r>
        <w:rPr>
          <w:rFonts w:ascii="Times New Roman" w:cs="Times New Roman" w:eastAsia="Times New Roman" w:hAnsi="Times New Roman"/>
          <w:sz w:val="18"/>
          <w:szCs w:val="18"/>
          <w:color w:val="auto"/>
        </w:rPr>
        <w:t>”). The Company has delivered or has made available to the Buyer or its respective representatives true, correct and complete copies of each of the SEC Documents not available on the EDGAR system.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w:t>
      </w:r>
    </w:p>
    <w:p>
      <w:pPr>
        <w:spacing w:after="0" w:line="97" w:lineRule="exact"/>
        <w:rPr>
          <w:rFonts w:ascii="Times New Roman" w:cs="Times New Roman" w:eastAsia="Times New Roman" w:hAnsi="Times New Roman"/>
          <w:sz w:val="18"/>
          <w:szCs w:val="18"/>
          <w:color w:val="auto"/>
        </w:rPr>
      </w:pPr>
    </w:p>
    <w:p>
      <w:pPr>
        <w:ind w:left="439" w:hanging="439"/>
        <w:spacing w:after="0" w:line="256" w:lineRule="auto"/>
        <w:tabs>
          <w:tab w:leader="none" w:pos="43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Except as set forth in the SEC Documents, since the date of the Company’s most recent audited financial statements contained in a Form 10-K, there has been no material adverse change and no material adverse development in the business, assets, liabilities, properties, operations (including results thereof), condition (financial or otherwise) or prospects of the Company or any of its Subsidiaries. Except as set forth in the SEC Documents, since the date of the Company’s most recent audited financial statements contained in a Form 10-K, neither the Company nor any of its Subsidiaries has (i) declared or paid any dividends, (ii) sold any assets, individually or in the aggregate, outside of the ordinary course</w:t>
      </w:r>
    </w:p>
    <w:p>
      <w:pPr>
        <w:spacing w:after="0" w:line="120" w:lineRule="exact"/>
        <w:rPr>
          <w:sz w:val="20"/>
          <w:szCs w:val="20"/>
          <w:color w:val="auto"/>
        </w:rPr>
      </w:pPr>
    </w:p>
    <w:p>
      <w:pPr>
        <w:ind w:left="44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019"/>
          </w:cols>
          <w:pgMar w:left="1421" w:top="270" w:right="459" w:bottom="1440" w:gutter="0" w:footer="0" w:header="0"/>
        </w:sectPr>
      </w:pPr>
    </w:p>
    <w:bookmarkStart w:id="152" w:name="page153"/>
    <w:bookmarkEnd w:id="152"/>
    <w:p>
      <w:pPr>
        <w:ind w:left="439"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business or (iii) made any capital expenditures, individually or in the aggregate, outside of the ordinary course of business.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or any actual knowledge of any fact which would reasonably lead a creditor to do so.</w:t>
      </w:r>
    </w:p>
    <w:p>
      <w:pPr>
        <w:spacing w:after="0" w:line="89" w:lineRule="exact"/>
        <w:rPr>
          <w:sz w:val="20"/>
          <w:szCs w:val="20"/>
          <w:color w:val="auto"/>
        </w:rPr>
      </w:pPr>
    </w:p>
    <w:p>
      <w:pPr>
        <w:ind w:left="439" w:right="80" w:hanging="439"/>
        <w:spacing w:after="0" w:line="255" w:lineRule="auto"/>
        <w:tabs>
          <w:tab w:leader="none" w:pos="43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Events, Liabilities, Developments or Circumstances</w:t>
      </w:r>
      <w:r>
        <w:rPr>
          <w:rFonts w:ascii="Times New Roman" w:cs="Times New Roman" w:eastAsia="Times New Roman" w:hAnsi="Times New Roman"/>
          <w:sz w:val="18"/>
          <w:szCs w:val="18"/>
          <w:color w:val="auto"/>
        </w:rPr>
        <w:t>. Except as set forth in the SEC Documents, no event, liability, development or circumstance has occurred or exists, or is reasonably expected to exist or occur with respect to the Company, any of its Subsidiaries or any of their respective businesses, properties, liabilities, prospects, operations (including results thereof) or condition (financial or otherwise), that (i) would be required to be disclosed by the Company under applicable securities laws on a registration statement on Form S-1 filed with the SEC relating to an issuance and sale by the Company of its Common Stock and which has not been publicly announced, (ii) could have a material adverse effect on the Buyer’s investment hereunder or (iii) could have a Material Adverse Effect.</w:t>
      </w:r>
    </w:p>
    <w:p>
      <w:pPr>
        <w:spacing w:after="0" w:line="94" w:lineRule="exact"/>
        <w:rPr>
          <w:rFonts w:ascii="Times New Roman" w:cs="Times New Roman" w:eastAsia="Times New Roman" w:hAnsi="Times New Roman"/>
          <w:sz w:val="18"/>
          <w:szCs w:val="18"/>
          <w:color w:val="auto"/>
        </w:rPr>
      </w:pPr>
    </w:p>
    <w:p>
      <w:pPr>
        <w:ind w:left="439" w:hanging="439"/>
        <w:spacing w:after="0" w:line="251" w:lineRule="auto"/>
        <w:tabs>
          <w:tab w:leader="none" w:pos="43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Business; Regulatory Permits</w:t>
      </w:r>
      <w:r>
        <w:rPr>
          <w:rFonts w:ascii="Times New Roman" w:cs="Times New Roman" w:eastAsia="Times New Roman" w:hAnsi="Times New Roman"/>
          <w:sz w:val="18"/>
          <w:szCs w:val="18"/>
          <w:color w:val="auto"/>
        </w:rPr>
        <w:t>. Neither the Company nor any of its Subsidiaries is in violation of any term of or in default under its Certificate of Incorporation, any certificate of designation, preferences or rights of any other outstanding series of preferred stock of the Company or any of its Subsidiaries or Bylaws or their organizational charter, certificate of formation, memorandum of association, articles of association, Certificate of Incorporation or certificate of incorporation or bylaws, respectively. Neither the Company nor any of its Subsidiaries is in violation of any judgment, decree or order or any statute, ordinance, rule or regulation applicable to the Company or any of its Subsidiaries, and neither the Company nor any of its Subsidiaries will conduct its business in violation of any of the foregoing, except in all cases for possible violations which could not, individually or in the aggregate, reasonably be expected to have a Material Adverse Effect. Except as set forth in the SEC Documents, the Company is not in violation of any of the rules, regulations or requirements of the Trading Market on which the Common Stock is listed or quoted and has no knowledge of any facts or circumstances that could reasonably lead to delisting or suspension of the Common Stock by such Trading Market in the foreseeable future. Except as set forth in the SEC Documents, during the two years prior to the Execution Date, (i) the Common Stock has been listed or designated for quotation on a Trading Market, (ii) trading in the Common Stock has not been suspended by the SEC or the applicable Trading Market and (iii) the Company has received no communication, written or oral, from the SEC or the applicable Trading Market regarding the suspension or delisting of the Common Stock from the applicable Trading Market, except as disclosed in the SEC Documents. The Company and each of its Subsidiaries possess all certificates, authorizations and permits issued by the appropriate regulatory authorities necessary to conduct their respective businesses, except where the failure to possess such certificates, authorizations or permits would not have, individually or in the aggregate, a Material Adverse Effect, and neither the Company nor any such Subsidiary has received any notice of proceedings relating to the revocation or modification of any such certificate, authorization or permit. There is no agreement, commitment, judgment, injunction, order or decree binding upon the Company or any of its Subsidiaries or to which the Company or any of its Subsidiaries is a party which has or would reasonably be expected to have the effect of prohibiting or materially impairing any business practice of the Company or any of its Subsidiaries, any acquisition of property by the Company or any of its Subsidiaries or the conduct of business by the Company or any of its Subsidiaries as currently conducted other than such effects, individually or in the aggregate, which have not had and would not reasonably be expected to have a Material Adverse Effect on the Company or any of its Subsidiaries.</w:t>
      </w:r>
    </w:p>
    <w:p>
      <w:pPr>
        <w:spacing w:after="0" w:line="137"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019"/>
          </w:cols>
          <w:pgMar w:left="1421" w:top="270" w:right="459" w:bottom="1440" w:gutter="0" w:footer="0" w:header="0"/>
        </w:sectPr>
      </w:pPr>
    </w:p>
    <w:bookmarkStart w:id="153" w:name="page154"/>
    <w:bookmarkEnd w:id="153"/>
    <w:p>
      <w:pPr>
        <w:ind w:left="439" w:right="60" w:hanging="439"/>
        <w:spacing w:after="0" w:line="254" w:lineRule="auto"/>
        <w:tabs>
          <w:tab w:leader="none" w:pos="43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Foreign Corrupt Practices</w:t>
      </w:r>
      <w:r>
        <w:rPr>
          <w:rFonts w:ascii="Times New Roman" w:cs="Times New Roman" w:eastAsia="Times New Roman" w:hAnsi="Times New Roman"/>
          <w:sz w:val="18"/>
          <w:szCs w:val="18"/>
          <w:color w:val="auto"/>
        </w:rPr>
        <w:t>. Neither the Company, the Company’s Subsidiary or, to the knowledge of the Company, any director, officer, agent, employee, nor any other person acting for or on behalf of the foregoing (individually and collectively, a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have violated the U.S. Foreign Corrupt Practices Act or any other applicable anti-bribery or anti-corruption laws, nor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Company Affiliate offered, paid, promised to pay, or authorized the payment of any money, or offered, given, promised to give, or authorized the giving of anything of value, to any officer, employee or any other person acting in an official capacity for any Governmental Entity to any political party or official thereof or to any candidate for political office (individually and collectively, a “</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or to any person under circumstances where such Company Affiliate knew or was aware of a high probability that all or a portion of such money or thing of value would be offered, given or promised, directly or indirectly, to any Government Official, for the purpose of:</w:t>
      </w:r>
    </w:p>
    <w:p>
      <w:pPr>
        <w:spacing w:after="0" w:line="93" w:lineRule="exact"/>
        <w:rPr>
          <w:rFonts w:ascii="Times New Roman" w:cs="Times New Roman" w:eastAsia="Times New Roman" w:hAnsi="Times New Roman"/>
          <w:sz w:val="18"/>
          <w:szCs w:val="18"/>
          <w:color w:val="auto"/>
        </w:rPr>
      </w:pPr>
    </w:p>
    <w:p>
      <w:pPr>
        <w:ind w:left="1859" w:right="240" w:hanging="428"/>
        <w:spacing w:after="0" w:line="261" w:lineRule="auto"/>
        <w:tabs>
          <w:tab w:leader="none" w:pos="1859"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influencing any act or decision of such Government Official in his/her official capacity, (B) inducing such Government Official to do or omit to do any act in violation of his/her lawful duty, (C) securing any improper advantage, or (D) inducing such Government Official to influence or affect any act or decision of any Governmental Entity, or</w:t>
      </w:r>
    </w:p>
    <w:p>
      <w:pPr>
        <w:spacing w:after="0" w:line="85" w:lineRule="exact"/>
        <w:rPr>
          <w:rFonts w:ascii="Times New Roman" w:cs="Times New Roman" w:eastAsia="Times New Roman" w:hAnsi="Times New Roman"/>
          <w:sz w:val="18"/>
          <w:szCs w:val="18"/>
          <w:color w:val="auto"/>
        </w:rPr>
      </w:pPr>
    </w:p>
    <w:p>
      <w:pPr>
        <w:ind w:left="1859" w:right="120" w:hanging="428"/>
        <w:spacing w:after="0" w:line="282" w:lineRule="auto"/>
        <w:tabs>
          <w:tab w:leader="none" w:pos="1859"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Company or its Subsidiaries in obtaining or retaining business for or with, or directing business to, the Company or its Subsidiaries.</w:t>
      </w:r>
    </w:p>
    <w:p>
      <w:pPr>
        <w:spacing w:after="0" w:line="67" w:lineRule="exact"/>
        <w:rPr>
          <w:rFonts w:ascii="Times New Roman" w:cs="Times New Roman" w:eastAsia="Times New Roman" w:hAnsi="Times New Roman"/>
          <w:sz w:val="18"/>
          <w:szCs w:val="18"/>
          <w:color w:val="auto"/>
        </w:rPr>
      </w:pPr>
    </w:p>
    <w:p>
      <w:pPr>
        <w:ind w:left="439" w:right="120" w:hanging="439"/>
        <w:spacing w:after="0" w:line="282" w:lineRule="auto"/>
        <w:tabs>
          <w:tab w:leader="none" w:pos="43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and each Subsidiary is in compliance with any and all applicable requirements of the Sarbanes-Oxley Act of 2002, as amended, and any and all applicable rules and regulations promulgated by the SEC thereunder.</w:t>
      </w:r>
    </w:p>
    <w:p>
      <w:pPr>
        <w:spacing w:after="0" w:line="67" w:lineRule="exact"/>
        <w:rPr>
          <w:rFonts w:ascii="Times New Roman" w:cs="Times New Roman" w:eastAsia="Times New Roman" w:hAnsi="Times New Roman"/>
          <w:sz w:val="18"/>
          <w:szCs w:val="18"/>
          <w:color w:val="auto"/>
        </w:rPr>
      </w:pPr>
    </w:p>
    <w:p>
      <w:pPr>
        <w:ind w:left="439" w:hanging="439"/>
        <w:spacing w:after="0" w:line="252" w:lineRule="auto"/>
        <w:tabs>
          <w:tab w:leader="none" w:pos="43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Except as set forth in the SEC Documents, no current employee, partner, director, officer or stockholder (direct or indirect) of the Company or its Subsidiaries, or any associate, or, to the knowledge of the Company, any former employee, partner, director, officer, stockholder or affiliate of any thereof, or any relative with a relationship no more remote than first cousin of any of the foregoing, is presently, or has ever been, (i) a party to any transaction with the Company or its Subsidiaries (including any contract, agreement or other arrangement providing for the furnishing of services by, or rental of real or personal property from, or otherwise requiring payments to, any such director, officer or stockholder or such associate or affiliate or relative Subsidiaries (other than for ordinary course services as employees, officers or directors of the Company or any of its Subsidiaries)) or (ii) the direct or indirect owner of an interest in any corporation, firm, association or business organization which is a competitor, supplier or customer of the Company or its Subsidiaries (except for a passive investment (direct or indirect) in less than 5% of the common stock of a company whose securities are traded on or quoted through a Trading Market), nor does any such Person receive income from any source other than the Company or its Subsidiaries which relates to the business of the Company or its Subsidiaries or should properly accrue to the Company or its Subsidiaries, in each case in excess of $120,000. No director, executive officer, or 10% or greater stockholder of the Company or any of its Subsidiaries or member of his or her immediate family is indebted to the Company or its Subsidiaries, as the case may be, nor, except as disclosed in the SEC Documents, is the Company or any of its Subsidiaries indebted (or committed to make loans or extend or guarantee credit) to any of them, other than (i) for payment of salary for services rendered, (ii) reimbursement for reasonable expenses incurred on behalf of the Company, and (iii) for other standard employee benefits made generally available to all employees or executives (including stock option agreements outstanding under any stock option plan approved by the board of directors of the Company).</w:t>
      </w:r>
    </w:p>
    <w:p>
      <w:pPr>
        <w:spacing w:after="0" w:line="124"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019"/>
          </w:cols>
          <w:pgMar w:left="1421" w:top="270" w:right="459" w:bottom="1440" w:gutter="0" w:footer="0" w:header="0"/>
        </w:sectPr>
      </w:pPr>
    </w:p>
    <w:bookmarkStart w:id="154" w:name="page155"/>
    <w:bookmarkEnd w:id="154"/>
    <w:p>
      <w:pPr>
        <w:ind w:left="439" w:hanging="439"/>
        <w:spacing w:after="0"/>
        <w:tabs>
          <w:tab w:leader="none" w:pos="43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Equity Capitalization.</w:t>
      </w:r>
    </w:p>
    <w:p>
      <w:pPr>
        <w:spacing w:after="0" w:line="130" w:lineRule="exact"/>
        <w:rPr>
          <w:rFonts w:ascii="Times New Roman" w:cs="Times New Roman" w:eastAsia="Times New Roman" w:hAnsi="Times New Roman"/>
          <w:sz w:val="18"/>
          <w:szCs w:val="18"/>
          <w:color w:val="auto"/>
        </w:rPr>
      </w:pPr>
    </w:p>
    <w:p>
      <w:pPr>
        <w:ind w:left="1419" w:hanging="433"/>
        <w:spacing w:after="0"/>
        <w:tabs>
          <w:tab w:leader="none" w:pos="1419"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30" w:lineRule="exact"/>
        <w:rPr>
          <w:rFonts w:ascii="Times New Roman" w:cs="Times New Roman" w:eastAsia="Times New Roman" w:hAnsi="Times New Roman"/>
          <w:sz w:val="18"/>
          <w:szCs w:val="18"/>
          <w:color w:val="auto"/>
        </w:rPr>
      </w:pPr>
    </w:p>
    <w:p>
      <w:pPr>
        <w:ind w:left="1419" w:right="80" w:hanging="433"/>
        <w:spacing w:after="0" w:line="255" w:lineRule="auto"/>
        <w:tabs>
          <w:tab w:leader="none" w:pos="1419"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and Outstanding Capital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3(r)(ii)</w:t>
      </w:r>
      <w:r>
        <w:rPr>
          <w:rFonts w:ascii="Times New Roman" w:cs="Times New Roman" w:eastAsia="Times New Roman" w:hAnsi="Times New Roman"/>
          <w:sz w:val="18"/>
          <w:szCs w:val="18"/>
          <w:color w:val="auto"/>
        </w:rPr>
        <w:t xml:space="preserve"> sets forth as of the Execution Date, the authorized, issued and outstanding capital stock of the Company as well as all outstanding equity linked securities, including all options, warrants, restricted stock units, Convertible Securities. No shares of Common Stock are held in the treasury of the Company. “</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capital stock or other security of the Company that is at any time and under any circumstances directly or indirectly convertible into, exercisable or exchangeable for, or which otherwise entitles the holder thereof to acquire, any capital stock or other security of the Company (including, without limitation, Common Stock).</w:t>
      </w:r>
    </w:p>
    <w:p>
      <w:pPr>
        <w:spacing w:after="0" w:line="94" w:lineRule="exact"/>
        <w:rPr>
          <w:rFonts w:ascii="Times New Roman" w:cs="Times New Roman" w:eastAsia="Times New Roman" w:hAnsi="Times New Roman"/>
          <w:sz w:val="18"/>
          <w:szCs w:val="18"/>
          <w:color w:val="auto"/>
        </w:rPr>
      </w:pPr>
    </w:p>
    <w:p>
      <w:pPr>
        <w:ind w:left="1419" w:hanging="433"/>
        <w:spacing w:after="0" w:line="253" w:lineRule="auto"/>
        <w:tabs>
          <w:tab w:leader="none" w:pos="1419"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 Available Shares; Affiliates</w:t>
      </w:r>
      <w:r>
        <w:rPr>
          <w:rFonts w:ascii="Times New Roman" w:cs="Times New Roman" w:eastAsia="Times New Roman" w:hAnsi="Times New Roman"/>
          <w:sz w:val="18"/>
          <w:szCs w:val="18"/>
          <w:color w:val="auto"/>
        </w:rPr>
        <w:t>. All of such outstanding shares are duly authorized and have been validly issued and are fully paid and nonassessable. The SEC Documents disclose all securities that are, as of the Execution Date, owned by Persons who are “affiliates” (as defined in Rule 405 of the 1933 Act and calculated based on the assumption that only officers, directors and holders of at least 10% of the Company’s issued and outstanding Common Stock are “affiliates” without conceding that any such Persons are “affiliates” for purposes of federal securities laws) of the Company or any of its Subsidiaries. To the Company’s knowledge, except as set forth in the SEC Documents, no Person owns 10% or more of the Company’s issued and outstanding shares of Common Stock (calculated based on the assumption that all Convertible Securities, whether or not presently exercisable or convertible, have been fully exercised or converted (as the case may be) taking account of any limitations on exercise or conversion (including “blockers”) contained therein without conceding that such identified Person is a 10% stockholder for purposes of federal securities laws).</w:t>
      </w:r>
    </w:p>
    <w:p>
      <w:pPr>
        <w:spacing w:after="0" w:line="97" w:lineRule="exact"/>
        <w:rPr>
          <w:rFonts w:ascii="Times New Roman" w:cs="Times New Roman" w:eastAsia="Times New Roman" w:hAnsi="Times New Roman"/>
          <w:sz w:val="18"/>
          <w:szCs w:val="18"/>
          <w:color w:val="auto"/>
        </w:rPr>
      </w:pPr>
    </w:p>
    <w:p>
      <w:pPr>
        <w:ind w:left="1419" w:right="40" w:hanging="433"/>
        <w:spacing w:after="0" w:line="253" w:lineRule="auto"/>
        <w:tabs>
          <w:tab w:leader="none" w:pos="1419"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Securities; Obligations</w:t>
      </w:r>
      <w:r>
        <w:rPr>
          <w:rFonts w:ascii="Times New Roman" w:cs="Times New Roman" w:eastAsia="Times New Roman" w:hAnsi="Times New Roman"/>
          <w:sz w:val="18"/>
          <w:szCs w:val="18"/>
          <w:color w:val="auto"/>
        </w:rPr>
        <w:t>. Except as disclosed in the SEC Documents: (A) none of the Company’s or any Subsidiary’s shares, interests or capital stock is subject to preemptive rights or any other similar rights or Liens suffered or permitted by the Company or any Subsidiary; (B) there are no outstanding options, warrants, scrip, rights to subscribe to, calls or commitments of any character whatsoever relating to, or securities or rights convertible into, or exercisable or exchangeable for, any shares, interests or capital stock of the Company or any of its Subsidiaries, or contracts, commitments, understandings or arrangements by which the Company or any of its Subsidiaries is or may become bound to issue additional shares, interests or capital stock of the Company or any of its Subsidiaries or options, warrants, scrip, rights to subscribe to, calls or commitments of any character whatsoever relating to, or securities or rights convertible into, or exercisable or exchangeable for, any shares, interests or capital stock of the Company or any of its Subsidiaries; (C) there are no agreements or arrangements under which the Company or any of its Subsidiaries is obligated to register the sale of any of their securities under the 1933 Act (except pursuant to</w:t>
      </w:r>
    </w:p>
    <w:p>
      <w:pPr>
        <w:spacing w:after="0" w:line="124"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039"/>
          </w:cols>
          <w:pgMar w:left="1421" w:top="270" w:right="439" w:bottom="1440" w:gutter="0" w:footer="0" w:header="0"/>
        </w:sectPr>
      </w:pPr>
    </w:p>
    <w:bookmarkStart w:id="155" w:name="page156"/>
    <w:bookmarkEnd w:id="155"/>
    <w:p>
      <w:pPr>
        <w:ind w:left="1439"/>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Registration Rights Agreement or otherwise with respect to rights granted to the Buyer by the Company);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w:t>
      </w:r>
    </w:p>
    <w:p>
      <w:pPr>
        <w:spacing w:after="0" w:line="3" w:lineRule="exact"/>
        <w:rPr>
          <w:sz w:val="20"/>
          <w:szCs w:val="20"/>
          <w:color w:val="auto"/>
        </w:rPr>
      </w:pPr>
    </w:p>
    <w:p>
      <w:pPr>
        <w:ind w:left="1439" w:right="180" w:hanging="8"/>
        <w:spacing w:after="0" w:line="253" w:lineRule="auto"/>
        <w:tabs>
          <w:tab w:leader="none" w:pos="1713"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securities or instruments containing anti-dilution or similar provisions that will be triggered by the issuance of the Securities; and (F) neither the Company nor any Subsidiary has any stock appreciation rights or “phantom stock” plans or agreements or any similar plan or agreement. The Company may adopt an equity incentive plan following the date of this Agreement.</w:t>
      </w:r>
    </w:p>
    <w:p>
      <w:pPr>
        <w:spacing w:after="0" w:line="94" w:lineRule="exact"/>
        <w:rPr>
          <w:rFonts w:ascii="Times New Roman" w:cs="Times New Roman" w:eastAsia="Times New Roman" w:hAnsi="Times New Roman"/>
          <w:sz w:val="18"/>
          <w:szCs w:val="18"/>
          <w:color w:val="auto"/>
        </w:rPr>
      </w:pPr>
    </w:p>
    <w:p>
      <w:pPr>
        <w:ind w:left="1419" w:right="120" w:hanging="433"/>
        <w:spacing w:after="0" w:line="261" w:lineRule="auto"/>
        <w:tabs>
          <w:tab w:leader="none" w:pos="1419"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The SEC Documents disclose true, correct and complete copies of the Company’s Certificate of Incorporation, as restated and amended and as in effect on the Execution Date (the “</w:t>
      </w:r>
      <w:r>
        <w:rPr>
          <w:rFonts w:ascii="Times New Roman" w:cs="Times New Roman" w:eastAsia="Times New Roman" w:hAnsi="Times New Roman"/>
          <w:sz w:val="18"/>
          <w:szCs w:val="18"/>
          <w:b w:val="1"/>
          <w:b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Incorporation</w:t>
      </w:r>
      <w:r>
        <w:rPr>
          <w:rFonts w:ascii="Times New Roman" w:cs="Times New Roman" w:eastAsia="Times New Roman" w:hAnsi="Times New Roman"/>
          <w:sz w:val="18"/>
          <w:szCs w:val="18"/>
          <w:color w:val="auto"/>
        </w:rPr>
        <w:t>”), and the Company’s bylaws, as restated and amended and as in effect on the Execution Date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and the terms of all Convertible Securities and the material rights of the holders thereof in respect thereto.</w:t>
      </w:r>
    </w:p>
    <w:p>
      <w:pPr>
        <w:spacing w:after="0" w:line="85" w:lineRule="exact"/>
        <w:rPr>
          <w:rFonts w:ascii="Times New Roman" w:cs="Times New Roman" w:eastAsia="Times New Roman" w:hAnsi="Times New Roman"/>
          <w:sz w:val="18"/>
          <w:szCs w:val="18"/>
          <w:color w:val="auto"/>
        </w:rPr>
      </w:pPr>
    </w:p>
    <w:p>
      <w:pPr>
        <w:ind w:left="439" w:right="20" w:hanging="439"/>
        <w:spacing w:after="0" w:line="251" w:lineRule="auto"/>
        <w:tabs>
          <w:tab w:leader="none" w:pos="43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 and Other Contracts</w:t>
      </w:r>
      <w:r>
        <w:rPr>
          <w:rFonts w:ascii="Times New Roman" w:cs="Times New Roman" w:eastAsia="Times New Roman" w:hAnsi="Times New Roman"/>
          <w:sz w:val="18"/>
          <w:szCs w:val="18"/>
          <w:color w:val="auto"/>
        </w:rPr>
        <w:t>. Neither the Company nor any of its Subsidiaries, (i) except as disclosed in the SEC Documents, has any material outstanding debt securities, notes, credit agreements, credit facilities or other agreements, documents or instruments evidencing Indebtedness of the Company or any of its Subsidiaries or by which the Company or any of its Subsidiaries is or may become bound, (ii) is a party to any contract, agreement or instrument, the violation of which, or default under which, by the other party(ies) to such contract, agreement or instrument could reasonably be expected to result in a Material Adverse Effect, (iii) to its knowledge has any financing statements securing obligations in any amounts filed in connection with the Company or any of its Subsidiaries (other than in connection with any Indebtedness disclosed pursuant to clause (i) of this Section 3(s), or any financing statements evidencing equipment financing liens in the ordinary course of business); (iv) is in violation of any term of, or in default under, any contract, agreement or instrument relating to any Indebtedness, except where such violations and defaults would not result, individually or in the aggregate, in a Material Adverse Effect, or (v) is a party to any contract, agreement or instrument relating to any Indebtedness, the performance of which, in the judgment of the Company’s officers, has or is expected to have a Material Adverse Effect. Neither the Company nor any of its Subsidiaries have any liabilities or obligations required to be disclosed in the SEC Documents which are not so disclosed in the SEC Documents, other than those incurred in the ordinary course of the Company’s or its Subsidiaries’ respective businesses and which, individually or in the aggregate, do not or could not have a Material Adverse Effect. For purposes of this Agreement: (x) “</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of any Person means, without duplication (A) all indebtedness for borrowed money (other than accrued liabilities and trade accounts payable incurred in the ordinary course of business), (B) all obligations issued, undertaken or assumed as the deferred purchase price of property or services (including, without limitation, “capital leases” in accordance with GAAP) (other than trade payables entered into in the ordinary course of business consistent with past practice),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w:t>
      </w:r>
    </w:p>
    <w:p>
      <w:pPr>
        <w:spacing w:after="0" w:line="138"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019"/>
          </w:cols>
          <w:pgMar w:left="1421" w:top="270" w:right="459" w:bottom="1440" w:gutter="0" w:footer="0" w:header="0"/>
        </w:sectPr>
      </w:pPr>
    </w:p>
    <w:bookmarkStart w:id="156" w:name="page157"/>
    <w:bookmarkEnd w:id="156"/>
    <w:p>
      <w:pPr>
        <w:ind w:left="439"/>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agreement in the event of default are limited to repossession or sale of such property), (F) all monetary obligations under any leasing or similar arrangement which, in connection with GAAP, consistently applied for the periods covered thereby, is classified as a capital lease, (G) all indebtedness referred to in clauses (A) through (F) above secured by (or for which the holder of such Indebtedness has an existing right, contingent or otherwise, to be secured by) any Lien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 and (y) “</w:t>
      </w:r>
      <w:r>
        <w:rPr>
          <w:rFonts w:ascii="Times New Roman" w:cs="Times New Roman" w:eastAsia="Times New Roman" w:hAnsi="Times New Roman"/>
          <w:sz w:val="17"/>
          <w:szCs w:val="17"/>
          <w:b w:val="1"/>
          <w:bCs w:val="1"/>
          <w:color w:val="auto"/>
        </w:rPr>
        <w:t>Contingent Obligation</w:t>
      </w:r>
      <w:r>
        <w:rPr>
          <w:rFonts w:ascii="Times New Roman" w:cs="Times New Roman" w:eastAsia="Times New Roman" w:hAnsi="Times New Roman"/>
          <w:sz w:val="17"/>
          <w:szCs w:val="17"/>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87" w:lineRule="exact"/>
        <w:rPr>
          <w:sz w:val="20"/>
          <w:szCs w:val="20"/>
          <w:color w:val="auto"/>
        </w:rPr>
      </w:pPr>
    </w:p>
    <w:p>
      <w:pPr>
        <w:ind w:left="439" w:right="40" w:hanging="439"/>
        <w:spacing w:after="0" w:line="253" w:lineRule="auto"/>
        <w:tabs>
          <w:tab w:leader="none" w:pos="43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the SEC Documents, there is no action, suit, arbitration, proceeding, inquiry or investigation before or by the applicable Trading Market, any court, public board, other Governmental Entity, self-regulatory organization or body pending or, to the knowledge of the Company, threatened against or affecting the Company or any of its Subsidiaries, the Common Stock or any of the Company’s officers or directors, whether of a civil or criminal nature or otherwise, in their capacities as such, that could reasonably be expected to have a Material Adverse Effect. To the Company’s knowledge, no director or officer or employee of the Company has willfully violated 18 U.S.C. §1519 or engaged in spoliation in reasonable anticipation of litigation. Without limitation of the foregoing, there has not been, and to the knowledge of the Company, there is not pending or contemplated, any investigation by the SEC involving the Company, any of its Subsidiaries or any current or former director or officer of the Company or any of its Subsidiaries. The SEC has not issued any stop order or other order suspending the effectiveness of any registration statement filed by the Company under the 1933 Act or the 1934 Act. Except as set forth in the SEC Documents, neither the Company nor any of its Subsidiaries is subject to any order, writ, judgment, injunction, decree, determination or award of any Governmental Entity that could reasonably be expected to have a Material Adverse Effect.</w:t>
      </w:r>
    </w:p>
    <w:p>
      <w:pPr>
        <w:spacing w:after="0" w:line="95" w:lineRule="exact"/>
        <w:rPr>
          <w:rFonts w:ascii="Times New Roman" w:cs="Times New Roman" w:eastAsia="Times New Roman" w:hAnsi="Times New Roman"/>
          <w:sz w:val="18"/>
          <w:szCs w:val="18"/>
          <w:color w:val="auto"/>
        </w:rPr>
      </w:pPr>
    </w:p>
    <w:p>
      <w:pPr>
        <w:ind w:left="439" w:right="40" w:hanging="439"/>
        <w:spacing w:after="0" w:line="256" w:lineRule="auto"/>
        <w:tabs>
          <w:tab w:leader="none" w:pos="43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In the past three years, neither the Company nor any such Subsidiary has been refused any material insurance coverage sought or applied for, and neither the Company nor any such Subsidiary has any reason to believe that it will be unable to obtain similar coverage from similar insurers as may be necessary to continue its business at a cost that would not have a Material Adverse Effect.</w:t>
      </w:r>
    </w:p>
    <w:p>
      <w:pPr>
        <w:spacing w:after="0" w:line="92" w:lineRule="exact"/>
        <w:rPr>
          <w:rFonts w:ascii="Times New Roman" w:cs="Times New Roman" w:eastAsia="Times New Roman" w:hAnsi="Times New Roman"/>
          <w:sz w:val="18"/>
          <w:szCs w:val="18"/>
          <w:color w:val="auto"/>
        </w:rPr>
      </w:pPr>
    </w:p>
    <w:p>
      <w:pPr>
        <w:ind w:left="439" w:right="140" w:hanging="439"/>
        <w:spacing w:after="0" w:line="258" w:lineRule="auto"/>
        <w:tabs>
          <w:tab w:leader="none" w:pos="43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Relations</w:t>
      </w:r>
      <w:r>
        <w:rPr>
          <w:rFonts w:ascii="Times New Roman" w:cs="Times New Roman" w:eastAsia="Times New Roman" w:hAnsi="Times New Roman"/>
          <w:sz w:val="18"/>
          <w:szCs w:val="18"/>
          <w:color w:val="auto"/>
        </w:rPr>
        <w:t>. Neither the Company nor any of its Subsidiaries is a party to any collective bargaining agreement or employs any member of a union. No executive officer (as defined in Rule 501(f) promulgated under the 1933 Act) or other key employee of the Company or any of its Subsidiaries has notified the Company or any such Subsidiary that such officer intends to leave the Company or any such Subsidiary or otherwise terminate such officer’s employment with the Company or any such Subsidiary. No current (or former) executive officer or other key employee of the Company or any of its Subsidiaries is, or is now expected</w:t>
      </w:r>
    </w:p>
    <w:p>
      <w:pPr>
        <w:spacing w:after="0" w:line="116"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999"/>
          </w:cols>
          <w:pgMar w:left="1421" w:top="270" w:right="479" w:bottom="1440" w:gutter="0" w:footer="0" w:header="0"/>
        </w:sectPr>
      </w:pPr>
    </w:p>
    <w:bookmarkStart w:id="157" w:name="page158"/>
    <w:bookmarkEnd w:id="157"/>
    <w:p>
      <w:pPr>
        <w:ind w:left="439"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be, in violation of any material term of any employment contract, confidentiality, disclosure or proprietary information agreement, non-competition agreement, or any other contract or agreement or any restrictive covenant, and the continued employment of each such executive officer or other key employee (as the case may be) does not subject the Company or any of its Subsidiaries to any liability with respect to any of the foregoing matters. The Company and its Subsidiaries are in compliance with all federal, state, local and foreign laws and regulations respecting labor, employment and employment practices and benefits, terms and conditions of employment and wages and hours, except where failure to be in compliance would not, either individually or in the aggregate, reasonably be expected to result in a Material Adverse Effect.</w:t>
      </w:r>
    </w:p>
    <w:p>
      <w:pPr>
        <w:spacing w:after="0" w:line="94" w:lineRule="exact"/>
        <w:rPr>
          <w:sz w:val="20"/>
          <w:szCs w:val="20"/>
          <w:color w:val="auto"/>
        </w:rPr>
      </w:pPr>
    </w:p>
    <w:p>
      <w:pPr>
        <w:ind w:left="439" w:hanging="439"/>
        <w:spacing w:after="0"/>
        <w:tabs>
          <w:tab w:leader="none" w:pos="43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419" w:right="80" w:hanging="433"/>
        <w:spacing w:after="0" w:line="254" w:lineRule="auto"/>
        <w:tabs>
          <w:tab w:leader="none" w:pos="1419"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Each of the Company and its Subsidiaries holds good title to all real property, leases in real property, facilities or other interests in real property owned or held by the Company or any of its Subsidiaries (the “</w:t>
      </w:r>
      <w:r>
        <w:rPr>
          <w:rFonts w:ascii="Times New Roman" w:cs="Times New Roman" w:eastAsia="Times New Roman" w:hAnsi="Times New Roman"/>
          <w:sz w:val="18"/>
          <w:szCs w:val="18"/>
          <w:b w:val="1"/>
          <w:bCs w:val="1"/>
          <w:color w:val="auto"/>
        </w:rPr>
        <w:t>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owned by the Company or any of its Subsidiaries (as applicable). The Real Property is free and clear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Liens and is not subject to any rights of way, building use restrictions, exceptions, variances, reservations, or limitations of any nature except for (a) Liens for current taxes not yet due and (b) zoning laws and other land use restrictions that do not impair the present or anticipated use of the property subject thereto. Any Real Property held under lease by the Company or any of its Subsidiaries are held by them under valid, subsisting and enforceable leases with such exceptions as are not material and do not interfere with the use made and proposed to be made of such property and buildings by the Company or any of its Subsidiaries.</w:t>
      </w:r>
    </w:p>
    <w:p>
      <w:pPr>
        <w:spacing w:after="0" w:line="93" w:lineRule="exact"/>
        <w:rPr>
          <w:rFonts w:ascii="Times New Roman" w:cs="Times New Roman" w:eastAsia="Times New Roman" w:hAnsi="Times New Roman"/>
          <w:sz w:val="18"/>
          <w:szCs w:val="18"/>
          <w:color w:val="auto"/>
        </w:rPr>
      </w:pPr>
    </w:p>
    <w:p>
      <w:pPr>
        <w:ind w:left="1419" w:right="100" w:hanging="433"/>
        <w:spacing w:after="0" w:line="253" w:lineRule="auto"/>
        <w:tabs>
          <w:tab w:leader="none" w:pos="1419"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Fixtures and Equipment</w:t>
      </w:r>
      <w:r>
        <w:rPr>
          <w:rFonts w:ascii="Times New Roman" w:cs="Times New Roman" w:eastAsia="Times New Roman" w:hAnsi="Times New Roman"/>
          <w:sz w:val="18"/>
          <w:szCs w:val="18"/>
          <w:color w:val="auto"/>
        </w:rPr>
        <w:t>. Each of the Company and its Subsidiaries (as applicable) has good title to, or a valid leasehold interest in, the tangible personal property, equipment, improvements, fixtures, and other personal property and appurtenances that are used by the Company or its Subsidiary in connection with the conduct of its business (the “</w:t>
      </w:r>
      <w:r>
        <w:rPr>
          <w:rFonts w:ascii="Times New Roman" w:cs="Times New Roman" w:eastAsia="Times New Roman" w:hAnsi="Times New Roman"/>
          <w:sz w:val="18"/>
          <w:szCs w:val="18"/>
          <w:b w:val="1"/>
          <w:bCs w:val="1"/>
          <w:color w:val="auto"/>
        </w:rPr>
        <w:t>Fixtures and Equipment</w:t>
      </w:r>
      <w:r>
        <w:rPr>
          <w:rFonts w:ascii="Times New Roman" w:cs="Times New Roman" w:eastAsia="Times New Roman" w:hAnsi="Times New Roman"/>
          <w:sz w:val="18"/>
          <w:szCs w:val="18"/>
          <w:color w:val="auto"/>
        </w:rPr>
        <w:t>”). The Fixtures and Equipment are structurally sound, are in good operating condition and repair, are adequate for the uses to which they are being put, are not in need of maintenance or repairs except for ordinary, routine maintenance and repairs and are sufficient for the conduct of the Company’s and/or its Subsidiaries’ businesses (as applicable) in the manner as conducted prior to the Closing. Each of the Company and its Subsidiaries owns all of its owned Fixtures and Equipment free and clear of all Liens except for (a) liens for current taxes not yet due and (b) zoning laws and other land use restrictions that do not impair the present or anticipated use of the property subject thereto.</w:t>
      </w:r>
    </w:p>
    <w:p>
      <w:pPr>
        <w:spacing w:after="0" w:line="99" w:lineRule="exact"/>
        <w:rPr>
          <w:rFonts w:ascii="Times New Roman" w:cs="Times New Roman" w:eastAsia="Times New Roman" w:hAnsi="Times New Roman"/>
          <w:sz w:val="18"/>
          <w:szCs w:val="18"/>
          <w:color w:val="auto"/>
        </w:rPr>
      </w:pPr>
    </w:p>
    <w:p>
      <w:pPr>
        <w:ind w:left="439" w:hanging="439"/>
        <w:spacing w:after="0" w:line="254" w:lineRule="auto"/>
        <w:tabs>
          <w:tab w:leader="none" w:pos="43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The Company and its Subsidiaries own or possess adequate rights or licenses to use all trademarks, trade names, service marks, service mark registrations, service names, original works of authorship, patents, patent rights, copyrights, inventions, licenses, approvals, governmental authorizations, trade secrets and other intellectual property rights and all applications and registrations therefor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necessary to conduct their respective businesses as now conducted and presently proposed to be conducted. None of the Company’s Intellectual Property Rights have expired or terminated or have been abandoned or are expected to expire or terminate or are expected to be abandoned, within two (2) years from the date of this Agreement. To the actual knowledge of the Company’s executive officers, upon commercially reasonable investigation, the Company and its Subsidiaries do not infringe any Intellectual Property Rights of others. There is no claim, action or proceeding</w:t>
      </w:r>
    </w:p>
    <w:p>
      <w:pPr>
        <w:spacing w:after="0" w:line="124"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039"/>
          </w:cols>
          <w:pgMar w:left="1421" w:top="270" w:right="439" w:bottom="1440" w:gutter="0" w:footer="0" w:header="0"/>
        </w:sectPr>
      </w:pPr>
    </w:p>
    <w:bookmarkStart w:id="158" w:name="page159"/>
    <w:bookmarkEnd w:id="158"/>
    <w:p>
      <w:pPr>
        <w:ind w:left="439"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being made or brought, or to the knowledge of the Company or any of its Subsidiaries, being threatened, against the Company or any of its Subsidiaries regarding its Intellectual Property Rights. Neither the Company nor any of its Subsidiaries is aware of any facts or circumstances which might give rise to any of the foregoing infringements or claims, actions or proceedings. The Company and its Subsidiaries have taken reasonable security measures to protect the secrecy, confidentiality and value of all of their Intellectual Property Rights.</w:t>
      </w:r>
    </w:p>
    <w:p>
      <w:pPr>
        <w:spacing w:after="0" w:line="89" w:lineRule="exact"/>
        <w:rPr>
          <w:sz w:val="20"/>
          <w:szCs w:val="20"/>
          <w:color w:val="auto"/>
        </w:rPr>
      </w:pPr>
    </w:p>
    <w:p>
      <w:pPr>
        <w:ind w:left="439" w:hanging="439"/>
        <w:spacing w:after="0"/>
        <w:tabs>
          <w:tab w:leader="none" w:pos="43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19" w:right="20" w:hanging="433"/>
        <w:spacing w:after="0" w:line="253" w:lineRule="auto"/>
        <w:tabs>
          <w:tab w:leader="none" w:pos="1419"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 are in material compliance with any and all Environmental Laws (as defined below), (B) have received all material permits, licenses or other approvals required of them under applicable Environmental Laws to conduct their respective businesses and (C) are in material compliance with all terms and conditions of any such permit, license or approval where, in each of the foregoing clauses (A), (B) and (C), the failure to so comply could be reasonably expected to have, individually or in the aggregate, a Material Adverse Effect. The term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b w:val="1"/>
          <w:bCs w:val="1"/>
          <w:color w:val="auto"/>
        </w:rPr>
        <w:t>Hazardous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Materials</w:t>
      </w:r>
      <w:r>
        <w:rPr>
          <w:rFonts w:ascii="Times New Roman" w:cs="Times New Roman" w:eastAsia="Times New Roman" w:hAnsi="Times New Roman"/>
          <w:sz w:val="18"/>
          <w:szCs w:val="18"/>
          <w:color w:val="auto"/>
        </w:rPr>
        <w:t>”) into the environment, or otherwise relating to the manufacture, processing, distribution, use, treatment,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spacing w:after="0" w:line="92" w:lineRule="exact"/>
        <w:rPr>
          <w:rFonts w:ascii="Times New Roman" w:cs="Times New Roman" w:eastAsia="Times New Roman" w:hAnsi="Times New Roman"/>
          <w:sz w:val="18"/>
          <w:szCs w:val="18"/>
          <w:color w:val="auto"/>
        </w:rPr>
      </w:pPr>
    </w:p>
    <w:p>
      <w:pPr>
        <w:ind w:left="1419" w:hanging="433"/>
        <w:spacing w:after="0"/>
        <w:tabs>
          <w:tab w:leader="none" w:pos="1419"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Hazardous Materials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419" w:right="580" w:hanging="542"/>
        <w:spacing w:after="0" w:line="282" w:lineRule="auto"/>
        <w:tabs>
          <w:tab w:leader="none" w:pos="2419"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disposed of or otherwise released from any Real Property of the Company or any of its Subsidiaries in violation of any Environmental Laws; or</w:t>
      </w:r>
    </w:p>
    <w:p>
      <w:pPr>
        <w:spacing w:after="0" w:line="67" w:lineRule="exact"/>
        <w:rPr>
          <w:rFonts w:ascii="Times New Roman" w:cs="Times New Roman" w:eastAsia="Times New Roman" w:hAnsi="Times New Roman"/>
          <w:sz w:val="18"/>
          <w:szCs w:val="18"/>
          <w:color w:val="auto"/>
        </w:rPr>
      </w:pPr>
    </w:p>
    <w:p>
      <w:pPr>
        <w:ind w:left="2419" w:hanging="542"/>
        <w:spacing w:after="0" w:line="261" w:lineRule="auto"/>
        <w:tabs>
          <w:tab w:leader="none" w:pos="2419"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present on, over, beneath, in or upon any Real Property or any portion thereof in quantities that would constitute a violation of any Environmental Laws. No prior use by the Company or any of its Subsidiaries of any Real Property has occurred that violates any Environmental Laws, which violation would have a material adverse effect on the business of the Company or any of its Subsidiaries.</w:t>
      </w:r>
    </w:p>
    <w:p>
      <w:pPr>
        <w:spacing w:after="0" w:line="85" w:lineRule="exact"/>
        <w:rPr>
          <w:rFonts w:ascii="Times New Roman" w:cs="Times New Roman" w:eastAsia="Times New Roman" w:hAnsi="Times New Roman"/>
          <w:sz w:val="18"/>
          <w:szCs w:val="18"/>
          <w:color w:val="auto"/>
        </w:rPr>
      </w:pPr>
    </w:p>
    <w:p>
      <w:pPr>
        <w:ind w:left="1419" w:right="300" w:hanging="433"/>
        <w:spacing w:after="0" w:line="266" w:lineRule="auto"/>
        <w:tabs>
          <w:tab w:leader="none" w:pos="1419"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knows of any other person who or entity which has stored, treated, recycled, disposed of or otherwise located on any Real Property any Hazardous Materials, including, without limitation, such substances as asbestos and polychlorinated biphenyls.</w:t>
      </w:r>
    </w:p>
    <w:p>
      <w:pPr>
        <w:spacing w:after="0" w:line="77" w:lineRule="exact"/>
        <w:rPr>
          <w:rFonts w:ascii="Times New Roman" w:cs="Times New Roman" w:eastAsia="Times New Roman" w:hAnsi="Times New Roman"/>
          <w:sz w:val="18"/>
          <w:szCs w:val="18"/>
          <w:color w:val="auto"/>
        </w:rPr>
      </w:pPr>
    </w:p>
    <w:p>
      <w:pPr>
        <w:ind w:left="1419" w:right="20" w:hanging="433"/>
        <w:spacing w:after="0" w:line="268" w:lineRule="auto"/>
        <w:tabs>
          <w:tab w:leader="none" w:pos="1419"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Real Properties are on any federal or state “Superfund” list or Liability Information System (“</w:t>
      </w:r>
      <w:r>
        <w:rPr>
          <w:rFonts w:ascii="Times New Roman" w:cs="Times New Roman" w:eastAsia="Times New Roman" w:hAnsi="Times New Roman"/>
          <w:sz w:val="18"/>
          <w:szCs w:val="18"/>
          <w:b w:val="1"/>
          <w:bCs w:val="1"/>
          <w:color w:val="auto"/>
        </w:rPr>
        <w:t>CERCLIS</w:t>
      </w:r>
      <w:r>
        <w:rPr>
          <w:rFonts w:ascii="Times New Roman" w:cs="Times New Roman" w:eastAsia="Times New Roman" w:hAnsi="Times New Roman"/>
          <w:sz w:val="18"/>
          <w:szCs w:val="18"/>
          <w:color w:val="auto"/>
        </w:rPr>
        <w:t>”) list or any state environmental agency list of sites under consideration for CERCLIS, nor subject to any environmental related Liens.</w:t>
      </w:r>
    </w:p>
    <w:p>
      <w:pPr>
        <w:spacing w:after="0" w:line="80" w:lineRule="exact"/>
        <w:rPr>
          <w:rFonts w:ascii="Times New Roman" w:cs="Times New Roman" w:eastAsia="Times New Roman" w:hAnsi="Times New Roman"/>
          <w:sz w:val="18"/>
          <w:szCs w:val="18"/>
          <w:color w:val="auto"/>
        </w:rPr>
      </w:pPr>
    </w:p>
    <w:p>
      <w:pPr>
        <w:ind w:left="439" w:right="280" w:hanging="439"/>
        <w:spacing w:after="0" w:line="266" w:lineRule="auto"/>
        <w:tabs>
          <w:tab w:leader="none" w:pos="43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Subsidiary Rights</w:t>
      </w:r>
      <w:r>
        <w:rPr>
          <w:rFonts w:ascii="Times New Roman" w:cs="Times New Roman" w:eastAsia="Times New Roman" w:hAnsi="Times New Roman"/>
          <w:sz w:val="18"/>
          <w:szCs w:val="18"/>
          <w:color w:val="auto"/>
        </w:rPr>
        <w:t>. Except as set forth in the SEC Documents, the Company or one of its Subsidiaries has the unrestricted right to vote, and (subject to limitations imposed by applicable law) to receive dividends and distributions on, all capital securities of its Subsidiaries as owned by the Company or such Subsidiary.</w:t>
      </w:r>
    </w:p>
    <w:p>
      <w:pPr>
        <w:spacing w:after="0" w:line="108"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019"/>
          </w:cols>
          <w:pgMar w:left="1421" w:top="270" w:right="459" w:bottom="1440" w:gutter="0" w:footer="0" w:header="0"/>
        </w:sectPr>
      </w:pPr>
    </w:p>
    <w:bookmarkStart w:id="159" w:name="page160"/>
    <w:bookmarkEnd w:id="159"/>
    <w:p>
      <w:pPr>
        <w:ind w:left="439" w:right="40" w:hanging="439"/>
        <w:spacing w:after="0" w:line="254" w:lineRule="auto"/>
        <w:tabs>
          <w:tab w:leader="none" w:pos="43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Status</w:t>
      </w:r>
      <w:r>
        <w:rPr>
          <w:rFonts w:ascii="Times New Roman" w:cs="Times New Roman" w:eastAsia="Times New Roman" w:hAnsi="Times New Roman"/>
          <w:sz w:val="18"/>
          <w:szCs w:val="18"/>
          <w:color w:val="auto"/>
        </w:rPr>
        <w:t>. The Company and each of its Subsidiaries (i) has timely made or filed (allowing for all lawful extensions) all foreign, federal and state income and all other tax returns, reports and declarations required by any jurisdiction to which it is subject, (ii) has timely paid all taxes and other governmental assessments and charges that are material in amount, shown or determined to be due on such returns, reports and declarations, except those being contested in good faith and (iii) has set aside on its books provision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and its Subsidiaries know of no basis for any such claim. The Company is not operated in such a manner as to qualify as a passive foreign investment company, as defined in Section 1297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93" w:lineRule="exact"/>
        <w:rPr>
          <w:rFonts w:ascii="Times New Roman" w:cs="Times New Roman" w:eastAsia="Times New Roman" w:hAnsi="Times New Roman"/>
          <w:sz w:val="18"/>
          <w:szCs w:val="18"/>
          <w:color w:val="auto"/>
        </w:rPr>
      </w:pPr>
    </w:p>
    <w:p>
      <w:pPr>
        <w:ind w:left="439" w:hanging="439"/>
        <w:spacing w:after="0" w:line="252" w:lineRule="auto"/>
        <w:tabs>
          <w:tab w:leader="none" w:pos="43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Accounting and Disclosure Controls</w:t>
      </w:r>
      <w:r>
        <w:rPr>
          <w:rFonts w:ascii="Times New Roman" w:cs="Times New Roman" w:eastAsia="Times New Roman" w:hAnsi="Times New Roman"/>
          <w:sz w:val="18"/>
          <w:szCs w:val="18"/>
          <w:color w:val="auto"/>
        </w:rPr>
        <w:t>. Except as set forth in the SEC Documents, the Company and each of its Subsidiaries maintains internal control over financial reporting (as such term is defined in Rule 13a-15(f) under the 1934 Act) that is effective to provide reasonable assurance regarding the reliability of financial reporting and the preparation of financial statements for external purposes in accordance with generally accepted accounting principles, including that (i) transactions are executed in accordance with management’s general or specific authorizations, (ii) transactions are recorded as necessary to permit preparation of financial statements in conformity with GAAP and to maintain asset and liability accountability, (iii) access to assets or incurrence of liabilities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 The Company maintains disclosure controls and procedures (as such term is defined in Rule</w:t>
      </w:r>
    </w:p>
    <w:p>
      <w:pPr>
        <w:spacing w:after="0" w:line="6" w:lineRule="exact"/>
        <w:rPr>
          <w:rFonts w:ascii="Times New Roman" w:cs="Times New Roman" w:eastAsia="Times New Roman" w:hAnsi="Times New Roman"/>
          <w:sz w:val="18"/>
          <w:szCs w:val="18"/>
          <w:color w:val="auto"/>
        </w:rPr>
      </w:pPr>
    </w:p>
    <w:p>
      <w:pPr>
        <w:ind w:left="43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13a-15(e) under the 1934 Act) that are effective in ensuring that information required to be disclosed by the Company in the reports that it files or submits under the 1934 Act is recorded, processed, summarized and reported, within the time periods specified in the rules and forms of the SEC, including, without limitation, controls and procedures designed to ensure that information required to be disclosed by the Company in the reports that it files or submits under the 1934 Act is accumulated and communicated to the Company’s management, including its principal executive officer or officers and its principal financial officer or officers, as appropriate, to allow timely decisions regarding required disclosure. Except as set forth in the SEC Documents, neither the Company nor any of its Subsidiaries has received any notice or correspondence from any accountant, Governmental Entity or other Person relating to any potential material weakness or significant deficiency in any part of the internal controls over financial reporting of the Company or any of its Subsidiaries.</w:t>
      </w:r>
    </w:p>
    <w:p>
      <w:pPr>
        <w:spacing w:after="0" w:line="98" w:lineRule="exact"/>
        <w:rPr>
          <w:rFonts w:ascii="Times New Roman" w:cs="Times New Roman" w:eastAsia="Times New Roman" w:hAnsi="Times New Roman"/>
          <w:sz w:val="18"/>
          <w:szCs w:val="18"/>
          <w:color w:val="auto"/>
        </w:rPr>
      </w:pPr>
    </w:p>
    <w:p>
      <w:pPr>
        <w:ind w:left="439" w:right="140" w:hanging="439"/>
        <w:spacing w:after="0" w:line="266" w:lineRule="auto"/>
        <w:tabs>
          <w:tab w:leader="none" w:pos="43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 Balance Sheet Arrangements</w:t>
      </w:r>
      <w:r>
        <w:rPr>
          <w:rFonts w:ascii="Times New Roman" w:cs="Times New Roman" w:eastAsia="Times New Roman" w:hAnsi="Times New Roman"/>
          <w:sz w:val="18"/>
          <w:szCs w:val="18"/>
          <w:color w:val="auto"/>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spacing w:after="0" w:line="81" w:lineRule="exact"/>
        <w:rPr>
          <w:rFonts w:ascii="Times New Roman" w:cs="Times New Roman" w:eastAsia="Times New Roman" w:hAnsi="Times New Roman"/>
          <w:sz w:val="18"/>
          <w:szCs w:val="18"/>
          <w:color w:val="auto"/>
        </w:rPr>
      </w:pPr>
    </w:p>
    <w:p>
      <w:pPr>
        <w:ind w:left="439" w:right="40" w:hanging="439"/>
        <w:spacing w:after="0" w:line="261" w:lineRule="auto"/>
        <w:tabs>
          <w:tab w:leader="none" w:pos="43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The Company is not, and upon consummation of the sale of the Securities will not be, an “investment company,” an affiliate of an “investment company,” a company controlled by an “investment company” or an “affiliated person” of, or “promoter” or “principal underwriter” for, an “investment company” as such terms are defined in the Investment Company Act of 1940, as amended.</w:t>
      </w:r>
    </w:p>
    <w:p>
      <w:pPr>
        <w:spacing w:after="0" w:line="112"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019"/>
          </w:cols>
          <w:pgMar w:left="1421" w:top="270" w:right="459" w:bottom="1440" w:gutter="0" w:footer="0" w:header="0"/>
        </w:sectPr>
      </w:pPr>
    </w:p>
    <w:bookmarkStart w:id="160" w:name="page161"/>
    <w:bookmarkEnd w:id="160"/>
    <w:p>
      <w:pPr>
        <w:ind w:left="439" w:right="40" w:hanging="439"/>
        <w:spacing w:after="0" w:line="252" w:lineRule="auto"/>
        <w:tabs>
          <w:tab w:leader="none" w:pos="43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Acknowledgement Regarding Buyer’s Trading Activity</w:t>
      </w:r>
      <w:r>
        <w:rPr>
          <w:rFonts w:ascii="Times New Roman" w:cs="Times New Roman" w:eastAsia="Times New Roman" w:hAnsi="Times New Roman"/>
          <w:sz w:val="18"/>
          <w:szCs w:val="18"/>
          <w:color w:val="auto"/>
        </w:rPr>
        <w:t>. It is understood and acknowledged by the Company that (i) following the public disclosure of the transactions contemplated by the Transaction Documents, in accordance with the terms thereof, the Buyer has not been asked by the Company or any of its Subsidiaries to agree, nor has the Buyer agreed with the Company or any of its Subsidiaries, to desist from effecting any transactions in or with respect to (including, without limitation, purchasing or selling, long and/or short) any securities of the Company, or “derivative” securities based on securities issued by the Company or to hold any of the Securities for any specified term; (ii) the Buyer, and counterparties in “derivative” transactions to which any the Buyer is a party, directly or indirectly, presently may have a “short” position in the Common Stock which was established prior to the Buyer’s knowledge of the transactions contemplated by the Transaction Documents; and (iii) the Buyer shall not be deemed to have any affiliation with or control over any arm’s length counterparty in any “derivative” transaction. The Company further understands and acknowledges that following the public disclosure of the transactions contemplated by the Transaction Documents pursuant to the Press Release (as defined below) the Buyer may engage in hedging and/or trading activities (including, without limitation, the location and/or reservation of borrowable shares of Common Stock) at various times during the period that the Securities are outstanding, including, without limitation, during the periods that the value and/or number of the Redemption Shares deliverable with respect to the Securities are being determined and such hedging and/or trading activities (including, without limitation, the location and/or reservation of borrowable shares of Common Stock), if any, can reduce the value of the existing stockholders’ equity interest in the Company both at and after the time the hedging and/or trading activities are being conducted. The Company acknowledges that such aforementioned hedging and/or trading activities do not constitute a breach of this Agreement, the Certificate of Designations, or any other Transaction Document or any of the documents executed in connection herewith or therewith.</w:t>
      </w:r>
    </w:p>
    <w:p>
      <w:pPr>
        <w:spacing w:after="0" w:line="96" w:lineRule="exact"/>
        <w:rPr>
          <w:rFonts w:ascii="Times New Roman" w:cs="Times New Roman" w:eastAsia="Times New Roman" w:hAnsi="Times New Roman"/>
          <w:sz w:val="18"/>
          <w:szCs w:val="18"/>
          <w:color w:val="auto"/>
        </w:rPr>
      </w:pPr>
    </w:p>
    <w:p>
      <w:pPr>
        <w:ind w:left="439" w:hanging="439"/>
        <w:spacing w:after="0" w:line="256" w:lineRule="auto"/>
        <w:tabs>
          <w:tab w:leader="none" w:pos="43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Manipulation of Price</w:t>
      </w:r>
      <w:r>
        <w:rPr>
          <w:rFonts w:ascii="Times New Roman" w:cs="Times New Roman" w:eastAsia="Times New Roman" w:hAnsi="Times New Roman"/>
          <w:sz w:val="18"/>
          <w:szCs w:val="18"/>
          <w:color w:val="auto"/>
        </w:rPr>
        <w:t>. Neither the Company nor any of its Subsidiaries has, and, to the knowledge of the Company, no Person acting on their behalf has, directly or indirectly, (i) taken any action designed to cause or to result in the stabilization or manipulation of the price of any security of the Company or any of its Subsidiaries to facilitate the sale or resale of any of the Securities, (ii) sold, bid for, purchased, or paid any compensation for soliciting purchases of, any of the Securities, (iii) paid or agreed to pay to any Person any compensation for soliciting another to purchase any other securities of the Company or any of its Subsidiaries or (iv) paid or agreed to pay any Person for research services with respect to any securities of the Company or any of its Subsidiaries.</w:t>
      </w:r>
    </w:p>
    <w:p>
      <w:pPr>
        <w:spacing w:after="0" w:line="92" w:lineRule="exact"/>
        <w:rPr>
          <w:rFonts w:ascii="Times New Roman" w:cs="Times New Roman" w:eastAsia="Times New Roman" w:hAnsi="Times New Roman"/>
          <w:sz w:val="18"/>
          <w:szCs w:val="18"/>
          <w:color w:val="auto"/>
        </w:rPr>
      </w:pPr>
    </w:p>
    <w:p>
      <w:pPr>
        <w:jc w:val="both"/>
        <w:ind w:left="439" w:right="20" w:hanging="439"/>
        <w:spacing w:after="0" w:line="266" w:lineRule="auto"/>
        <w:tabs>
          <w:tab w:leader="none" w:pos="43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Neither the Company nor any of its Subsidiaries is, or has ever been, and so long as any of the Securities are held by the Buyer, shall become, a U.S. real property holding corporation within the meaning of Section 897 of the Code, and the Company and each Subsidiary shall so certify upon the Buyer’s request.</w:t>
      </w:r>
    </w:p>
    <w:p>
      <w:pPr>
        <w:spacing w:after="0" w:line="81" w:lineRule="exact"/>
        <w:rPr>
          <w:rFonts w:ascii="Times New Roman" w:cs="Times New Roman" w:eastAsia="Times New Roman" w:hAnsi="Times New Roman"/>
          <w:sz w:val="18"/>
          <w:szCs w:val="18"/>
          <w:color w:val="auto"/>
        </w:rPr>
      </w:pPr>
    </w:p>
    <w:p>
      <w:pPr>
        <w:ind w:left="439" w:right="880" w:hanging="439"/>
        <w:spacing w:after="0" w:line="282" w:lineRule="auto"/>
        <w:tabs>
          <w:tab w:leader="none" w:pos="43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Eligibility</w:t>
      </w:r>
      <w:r>
        <w:rPr>
          <w:rFonts w:ascii="Times New Roman" w:cs="Times New Roman" w:eastAsia="Times New Roman" w:hAnsi="Times New Roman"/>
          <w:sz w:val="18"/>
          <w:szCs w:val="18"/>
          <w:color w:val="auto"/>
        </w:rPr>
        <w:t>. The Company is eligible to register the Registrable Securities (defined in the Registration Rights Agreement) for resale by the Buyer using Form S-1 promulgated under the 1933 Act.</w:t>
      </w:r>
    </w:p>
    <w:p>
      <w:pPr>
        <w:spacing w:after="0" w:line="94"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019"/>
          </w:cols>
          <w:pgMar w:left="1421" w:top="270" w:right="459" w:bottom="1440" w:gutter="0" w:footer="0" w:header="0"/>
        </w:sectPr>
      </w:pPr>
    </w:p>
    <w:bookmarkStart w:id="161" w:name="page162"/>
    <w:bookmarkEnd w:id="161"/>
    <w:p>
      <w:pPr>
        <w:ind w:left="439" w:right="100" w:hanging="439"/>
        <w:spacing w:after="0" w:line="266" w:lineRule="auto"/>
        <w:tabs>
          <w:tab w:leader="none" w:pos="43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Taxes</w:t>
      </w:r>
      <w:r>
        <w:rPr>
          <w:rFonts w:ascii="Times New Roman" w:cs="Times New Roman" w:eastAsia="Times New Roman" w:hAnsi="Times New Roman"/>
          <w:sz w:val="18"/>
          <w:szCs w:val="18"/>
          <w:color w:val="auto"/>
        </w:rPr>
        <w:t>. On the Closing Date, all stock transfer or other taxes (other than income or similar taxes) which are required to be paid in connection with the issuance, sale and transfer of the Securities to be sold to the Buyer hereunder will be, or will have been, fully paid or provided for by the Company, and all laws imposing such taxes will be or will have been complied with.</w:t>
      </w:r>
    </w:p>
    <w:p>
      <w:pPr>
        <w:spacing w:after="0" w:line="81" w:lineRule="exact"/>
        <w:rPr>
          <w:rFonts w:ascii="Times New Roman" w:cs="Times New Roman" w:eastAsia="Times New Roman" w:hAnsi="Times New Roman"/>
          <w:sz w:val="18"/>
          <w:szCs w:val="18"/>
          <w:color w:val="auto"/>
        </w:rPr>
      </w:pPr>
    </w:p>
    <w:p>
      <w:pPr>
        <w:ind w:left="439" w:hanging="439"/>
        <w:spacing w:after="0" w:line="255" w:lineRule="auto"/>
        <w:tabs>
          <w:tab w:leader="none" w:pos="43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is subject to the Bank Holding Company Act of 1956, as amended (the “</w:t>
      </w:r>
      <w:r>
        <w:rPr>
          <w:rFonts w:ascii="Times New Roman" w:cs="Times New Roman" w:eastAsia="Times New Roman" w:hAnsi="Times New Roman"/>
          <w:sz w:val="18"/>
          <w:szCs w:val="18"/>
          <w:b w:val="1"/>
          <w:bCs w:val="1"/>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b w:val="1"/>
          <w:bCs w:val="1"/>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94" w:lineRule="exact"/>
        <w:rPr>
          <w:rFonts w:ascii="Times New Roman" w:cs="Times New Roman" w:eastAsia="Times New Roman" w:hAnsi="Times New Roman"/>
          <w:sz w:val="18"/>
          <w:szCs w:val="18"/>
          <w:color w:val="auto"/>
        </w:rPr>
      </w:pPr>
    </w:p>
    <w:p>
      <w:pPr>
        <w:ind w:left="439" w:hanging="439"/>
        <w:spacing w:after="0"/>
        <w:tabs>
          <w:tab w:leader="none" w:pos="43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Shell Company Status</w:t>
      </w:r>
      <w:r>
        <w:rPr>
          <w:rFonts w:ascii="Times New Roman" w:cs="Times New Roman" w:eastAsia="Times New Roman" w:hAnsi="Times New Roman"/>
          <w:sz w:val="18"/>
          <w:szCs w:val="18"/>
          <w:color w:val="auto"/>
        </w:rPr>
        <w:t>. The Company is not an issuer identified in Rule 144(i).</w:t>
      </w:r>
    </w:p>
    <w:p>
      <w:pPr>
        <w:spacing w:after="0" w:line="130" w:lineRule="exact"/>
        <w:rPr>
          <w:rFonts w:ascii="Times New Roman" w:cs="Times New Roman" w:eastAsia="Times New Roman" w:hAnsi="Times New Roman"/>
          <w:sz w:val="18"/>
          <w:szCs w:val="18"/>
          <w:color w:val="auto"/>
        </w:rPr>
      </w:pPr>
    </w:p>
    <w:p>
      <w:pPr>
        <w:ind w:left="439" w:right="20" w:hanging="439"/>
        <w:spacing w:after="0" w:line="255" w:lineRule="auto"/>
        <w:tabs>
          <w:tab w:leader="none" w:pos="43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Illegal or Unauthorized Payments; Political Contributions</w:t>
      </w:r>
      <w:r>
        <w:rPr>
          <w:rFonts w:ascii="Times New Roman" w:cs="Times New Roman" w:eastAsia="Times New Roman" w:hAnsi="Times New Roman"/>
          <w:sz w:val="18"/>
          <w:szCs w:val="18"/>
          <w:color w:val="auto"/>
        </w:rPr>
        <w:t>. Neither the Company nor any of its Subsidiaries nor, to the best of the Company’s knowledge, any of the officers, directors, employees, agents or other representatives of the Company or any of its Subsidiaries or any other business entity or enterprise with which the Company or any Subsidiary is or has been affiliated or associated,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except for personal political contributions not involving the direct or indirect use of funds of the Company or any of its Subsidiaries.</w:t>
      </w:r>
    </w:p>
    <w:p>
      <w:pPr>
        <w:spacing w:after="0" w:line="94" w:lineRule="exact"/>
        <w:rPr>
          <w:rFonts w:ascii="Times New Roman" w:cs="Times New Roman" w:eastAsia="Times New Roman" w:hAnsi="Times New Roman"/>
          <w:sz w:val="18"/>
          <w:szCs w:val="18"/>
          <w:color w:val="auto"/>
        </w:rPr>
      </w:pPr>
    </w:p>
    <w:p>
      <w:pPr>
        <w:ind w:left="439" w:right="40" w:hanging="439"/>
        <w:spacing w:after="0" w:line="269" w:lineRule="auto"/>
        <w:tabs>
          <w:tab w:leader="none" w:pos="439"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Money Laundering</w:t>
      </w:r>
      <w:r>
        <w:rPr>
          <w:rFonts w:ascii="Times New Roman" w:cs="Times New Roman" w:eastAsia="Times New Roman" w:hAnsi="Times New Roman"/>
          <w:sz w:val="17"/>
          <w:szCs w:val="17"/>
          <w:color w:val="auto"/>
        </w:rPr>
        <w:t>. The Company and its Subsidiaries are in material compliance with, and have not previously materially violated, the USA Patriot Act of 2001 and all other applicable U.S. and non-U.S. anti-money laundering laws and regulations, including, without limitation, the laws, regulations and Executive Orders and sanctions programs administered by the U.S. Office of Foreign Assets Control, including, but not limited to (i) Executive Order 13224 of September 23, 2001 entitled, “Blocking Property and Prohibiting Transactions With Persons Who Commit, Threaten to Commit, or Support Terrorism” (66 Fed. Reg. 49079 (2001)); and</w:t>
      </w:r>
    </w:p>
    <w:p>
      <w:pPr>
        <w:spacing w:after="0" w:line="2" w:lineRule="exact"/>
        <w:rPr>
          <w:rFonts w:ascii="Times New Roman" w:cs="Times New Roman" w:eastAsia="Times New Roman" w:hAnsi="Times New Roman"/>
          <w:sz w:val="17"/>
          <w:szCs w:val="17"/>
          <w:color w:val="auto"/>
        </w:rPr>
      </w:pPr>
    </w:p>
    <w:p>
      <w:pPr>
        <w:ind w:left="699" w:hanging="267"/>
        <w:spacing w:after="0"/>
        <w:tabs>
          <w:tab w:leader="none" w:pos="699"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regulations contained in 31 CFR, Subtitle B, Chapter V.</w:t>
      </w:r>
    </w:p>
    <w:p>
      <w:pPr>
        <w:spacing w:after="0" w:line="112" w:lineRule="exact"/>
        <w:rPr>
          <w:rFonts w:ascii="Times New Roman" w:cs="Times New Roman" w:eastAsia="Times New Roman" w:hAnsi="Times New Roman"/>
          <w:sz w:val="18"/>
          <w:szCs w:val="18"/>
          <w:color w:val="auto"/>
        </w:rPr>
      </w:pPr>
    </w:p>
    <w:p>
      <w:pPr>
        <w:jc w:val="both"/>
        <w:ind w:left="439" w:right="20" w:hanging="439"/>
        <w:spacing w:after="0" w:line="266" w:lineRule="auto"/>
        <w:tabs>
          <w:tab w:leader="none" w:pos="43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w:t>
      </w:r>
      <w:r>
        <w:rPr>
          <w:rFonts w:ascii="Times New Roman" w:cs="Times New Roman" w:eastAsia="Times New Roman" w:hAnsi="Times New Roman"/>
          <w:sz w:val="18"/>
          <w:szCs w:val="18"/>
          <w:color w:val="auto"/>
        </w:rPr>
        <w:t>. Except as set forth in the SEC Documents, during the past five year period, no current or former officer or director or, to the knowledge of the Company, no current ten percent (10%) or greater stockholder of the Company or any of its Subsidiaries has been the subject of:</w:t>
      </w:r>
    </w:p>
    <w:p>
      <w:pPr>
        <w:spacing w:after="0" w:line="81" w:lineRule="exact"/>
        <w:rPr>
          <w:rFonts w:ascii="Times New Roman" w:cs="Times New Roman" w:eastAsia="Times New Roman" w:hAnsi="Times New Roman"/>
          <w:sz w:val="18"/>
          <w:szCs w:val="18"/>
          <w:color w:val="auto"/>
        </w:rPr>
      </w:pPr>
    </w:p>
    <w:p>
      <w:pPr>
        <w:ind w:left="1419" w:hanging="433"/>
        <w:spacing w:after="0"/>
        <w:tabs>
          <w:tab w:leader="none" w:pos="1419"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30" w:lineRule="exact"/>
        <w:rPr>
          <w:rFonts w:ascii="Times New Roman" w:cs="Times New Roman" w:eastAsia="Times New Roman" w:hAnsi="Times New Roman"/>
          <w:sz w:val="18"/>
          <w:szCs w:val="18"/>
          <w:color w:val="auto"/>
        </w:rPr>
      </w:pPr>
    </w:p>
    <w:p>
      <w:pPr>
        <w:ind w:left="1419" w:right="20" w:hanging="433"/>
        <w:spacing w:after="0" w:line="282" w:lineRule="auto"/>
        <w:tabs>
          <w:tab w:leader="none" w:pos="1419"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conviction in a criminal proceeding or a named subject of a pending criminal proceeding (excluding traffic violations that do not relate to driving while intoxicated or driving under the influence);</w:t>
      </w:r>
    </w:p>
    <w:p>
      <w:pPr>
        <w:spacing w:after="0" w:line="94"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999"/>
          </w:cols>
          <w:pgMar w:left="1421" w:top="270" w:right="479" w:bottom="1440" w:gutter="0" w:footer="0" w:header="0"/>
        </w:sectPr>
      </w:pPr>
    </w:p>
    <w:bookmarkStart w:id="162" w:name="page163"/>
    <w:bookmarkEnd w:id="162"/>
    <w:p>
      <w:pPr>
        <w:ind w:left="1419" w:hanging="433"/>
        <w:spacing w:after="0" w:line="312" w:lineRule="auto"/>
        <w:tabs>
          <w:tab w:leader="none" w:pos="1419"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order, judgment or decree, not subsequently reversed, suspended or vacated, of any court of competent jurisdiction, permanently or temporarily enjoining any such person from, or otherwise limiting, the following activities:</w:t>
      </w:r>
    </w:p>
    <w:p>
      <w:pPr>
        <w:spacing w:after="0" w:line="45" w:lineRule="exact"/>
        <w:rPr>
          <w:rFonts w:ascii="Times New Roman" w:cs="Times New Roman" w:eastAsia="Times New Roman" w:hAnsi="Times New Roman"/>
          <w:sz w:val="17"/>
          <w:szCs w:val="17"/>
          <w:color w:val="auto"/>
        </w:rPr>
      </w:pPr>
    </w:p>
    <w:p>
      <w:pPr>
        <w:ind w:left="2419" w:right="40" w:hanging="542"/>
        <w:spacing w:after="0" w:line="256" w:lineRule="auto"/>
        <w:tabs>
          <w:tab w:leader="none" w:pos="2419"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as a futures commission merchant, introducing broker, commodity trading advisor, commodity pool operator, floor broker, leverage transaction merchant, any other person regulated by the United States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p>
    <w:p>
      <w:pPr>
        <w:spacing w:after="0" w:line="92" w:lineRule="exact"/>
        <w:rPr>
          <w:rFonts w:ascii="Times New Roman" w:cs="Times New Roman" w:eastAsia="Times New Roman" w:hAnsi="Times New Roman"/>
          <w:sz w:val="18"/>
          <w:szCs w:val="18"/>
          <w:color w:val="auto"/>
        </w:rPr>
      </w:pPr>
    </w:p>
    <w:p>
      <w:pPr>
        <w:ind w:left="2419" w:hanging="542"/>
        <w:spacing w:after="0"/>
        <w:tabs>
          <w:tab w:leader="none" w:pos="2419"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any particular type of business practice; or</w:t>
      </w:r>
    </w:p>
    <w:p>
      <w:pPr>
        <w:spacing w:after="0" w:line="130" w:lineRule="exact"/>
        <w:rPr>
          <w:rFonts w:ascii="Times New Roman" w:cs="Times New Roman" w:eastAsia="Times New Roman" w:hAnsi="Times New Roman"/>
          <w:sz w:val="18"/>
          <w:szCs w:val="18"/>
          <w:color w:val="auto"/>
        </w:rPr>
      </w:pPr>
    </w:p>
    <w:p>
      <w:pPr>
        <w:ind w:left="2419" w:right="440" w:hanging="542"/>
        <w:spacing w:after="0" w:line="282" w:lineRule="auto"/>
        <w:tabs>
          <w:tab w:leader="none" w:pos="2419"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any activity in connection with the purchase or sale of any security or commodity or in connection with any violation of securities laws or commodities laws;</w:t>
      </w:r>
    </w:p>
    <w:p>
      <w:pPr>
        <w:spacing w:after="0" w:line="67" w:lineRule="exact"/>
        <w:rPr>
          <w:rFonts w:ascii="Times New Roman" w:cs="Times New Roman" w:eastAsia="Times New Roman" w:hAnsi="Times New Roman"/>
          <w:sz w:val="18"/>
          <w:szCs w:val="18"/>
          <w:color w:val="auto"/>
        </w:rPr>
      </w:pPr>
    </w:p>
    <w:p>
      <w:pPr>
        <w:jc w:val="both"/>
        <w:ind w:left="1419" w:right="160" w:hanging="433"/>
        <w:spacing w:after="0" w:line="266" w:lineRule="auto"/>
        <w:tabs>
          <w:tab w:leader="none" w:pos="1419"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not subsequently reversed, suspended or vacated, of any authority barring, suspending or otherwise limiting for more than sixty (60) days the right of any such person to engage in any activity described in the preceding sub paragraph, or to be associated with persons engaged in any such activity;</w:t>
      </w:r>
    </w:p>
    <w:p>
      <w:pPr>
        <w:spacing w:after="0" w:line="81" w:lineRule="exact"/>
        <w:rPr>
          <w:rFonts w:ascii="Times New Roman" w:cs="Times New Roman" w:eastAsia="Times New Roman" w:hAnsi="Times New Roman"/>
          <w:sz w:val="18"/>
          <w:szCs w:val="18"/>
          <w:color w:val="auto"/>
        </w:rPr>
      </w:pPr>
    </w:p>
    <w:p>
      <w:pPr>
        <w:ind w:left="1419" w:right="160" w:hanging="433"/>
        <w:spacing w:after="0" w:line="266" w:lineRule="auto"/>
        <w:tabs>
          <w:tab w:leader="none" w:pos="1419"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finding by a court of competent jurisdiction in a civil action or by the SEC or other authority to have violated any securities law, regulation or decree and the judgment in such civil action or finding by the SEC or any other authority has not been subsequently reversed, suspended or vacated; or</w:t>
      </w:r>
    </w:p>
    <w:p>
      <w:pPr>
        <w:spacing w:after="0" w:line="81" w:lineRule="exact"/>
        <w:rPr>
          <w:rFonts w:ascii="Times New Roman" w:cs="Times New Roman" w:eastAsia="Times New Roman" w:hAnsi="Times New Roman"/>
          <w:sz w:val="18"/>
          <w:szCs w:val="18"/>
          <w:color w:val="auto"/>
        </w:rPr>
      </w:pPr>
    </w:p>
    <w:p>
      <w:pPr>
        <w:ind w:left="1419" w:right="80" w:hanging="433"/>
        <w:spacing w:after="0" w:line="266" w:lineRule="auto"/>
        <w:tabs>
          <w:tab w:leader="none" w:pos="1419"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finding by a court of competent jurisdiction in a civil action or by the Commodity Futures Trading Commission to have violated any federal commodities law, and the judgment in such civil action or finding has not been subsequently reversed, suspended or vacated.</w:t>
      </w:r>
    </w:p>
    <w:p>
      <w:pPr>
        <w:spacing w:after="0" w:line="81" w:lineRule="exact"/>
        <w:rPr>
          <w:rFonts w:ascii="Times New Roman" w:cs="Times New Roman" w:eastAsia="Times New Roman" w:hAnsi="Times New Roman"/>
          <w:sz w:val="18"/>
          <w:szCs w:val="18"/>
          <w:color w:val="auto"/>
        </w:rPr>
      </w:pPr>
    </w:p>
    <w:p>
      <w:pPr>
        <w:ind w:left="439" w:hanging="439"/>
        <w:spacing w:after="0" w:line="255" w:lineRule="auto"/>
        <w:tabs>
          <w:tab w:leader="none" w:pos="43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was granted (i) in accordance with the terms of the applicable stock option plan of the Company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policy or practice of the Company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94" w:lineRule="exact"/>
        <w:rPr>
          <w:rFonts w:ascii="Times New Roman" w:cs="Times New Roman" w:eastAsia="Times New Roman" w:hAnsi="Times New Roman"/>
          <w:sz w:val="18"/>
          <w:szCs w:val="18"/>
          <w:color w:val="auto"/>
        </w:rPr>
      </w:pPr>
    </w:p>
    <w:p>
      <w:pPr>
        <w:ind w:left="439" w:hanging="439"/>
        <w:spacing w:after="0" w:line="261" w:lineRule="auto"/>
        <w:tabs>
          <w:tab w:leader="none" w:pos="43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Disagreements with Accountants and Lawyers</w:t>
      </w:r>
      <w:r>
        <w:rPr>
          <w:rFonts w:ascii="Times New Roman" w:cs="Times New Roman" w:eastAsia="Times New Roman" w:hAnsi="Times New Roman"/>
          <w:sz w:val="18"/>
          <w:szCs w:val="18"/>
          <w:color w:val="auto"/>
        </w:rPr>
        <w:t>. There are no material disagreements of any kind presently existing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 In addition, on or prior to the Execution</w:t>
      </w:r>
    </w:p>
    <w:p>
      <w:pPr>
        <w:spacing w:after="0" w:line="112"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019"/>
          </w:cols>
          <w:pgMar w:left="1421" w:top="270" w:right="459" w:bottom="1440" w:gutter="0" w:footer="0" w:header="0"/>
        </w:sectPr>
      </w:pPr>
    </w:p>
    <w:bookmarkStart w:id="163" w:name="page164"/>
    <w:bookmarkEnd w:id="163"/>
    <w:p>
      <w:pPr>
        <w:ind w:left="439"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 the Company had discussions with its accountants about its financial statements previously filed with the SEC. Based on those discussions, the Company has no reason to believe that it will need to restate any such financial statements or any part thereof.</w:t>
      </w:r>
    </w:p>
    <w:p>
      <w:pPr>
        <w:spacing w:after="0" w:line="67" w:lineRule="exact"/>
        <w:rPr>
          <w:sz w:val="20"/>
          <w:szCs w:val="20"/>
          <w:color w:val="auto"/>
        </w:rPr>
      </w:pPr>
    </w:p>
    <w:p>
      <w:pPr>
        <w:ind w:left="439" w:right="20" w:hanging="439"/>
        <w:spacing w:after="0" w:line="253" w:lineRule="auto"/>
        <w:tabs>
          <w:tab w:leader="none" w:pos="43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Securities to be offered and sold hereunder in reliance on Rule 506(b) under the 1933 Act (“</w:t>
      </w:r>
      <w:r>
        <w:rPr>
          <w:rFonts w:ascii="Times New Roman" w:cs="Times New Roman" w:eastAsia="Times New Roman" w:hAnsi="Times New Roman"/>
          <w:sz w:val="18"/>
          <w:szCs w:val="18"/>
          <w:b w:val="1"/>
          <w:bCs w:val="1"/>
          <w:color w:val="auto"/>
        </w:rPr>
        <w:t>Regulation D Securities</w:t>
      </w:r>
      <w:r>
        <w:rPr>
          <w:rFonts w:ascii="Times New Roman" w:cs="Times New Roman" w:eastAsia="Times New Roman" w:hAnsi="Times New Roman"/>
          <w:sz w:val="18"/>
          <w:szCs w:val="18"/>
          <w:color w:val="auto"/>
        </w:rPr>
        <w:t>”), none of the Company, any of its predecessors, any affiliated issuer, any director, executive officer, other officer of the Company participating in the offering contemplated hereby, or, to the knowledge of the Company, any beneficial owner of 20% or more of the Company’s outstanding voting equity securities, calculated on the basis of voting power, nor any promoter (as that term is defined in Rule 405 under the 1933 Act) connected with the Company in any capacity at the time of sale (each, an “</w:t>
      </w:r>
      <w:r>
        <w:rPr>
          <w:rFonts w:ascii="Times New Roman" w:cs="Times New Roman" w:eastAsia="Times New Roman" w:hAnsi="Times New Roman"/>
          <w:sz w:val="18"/>
          <w:szCs w:val="18"/>
          <w:b w:val="1"/>
          <w:bCs w:val="1"/>
          <w:color w:val="auto"/>
        </w:rPr>
        <w:t>Issuer Covered Person</w:t>
      </w:r>
      <w:r>
        <w:rPr>
          <w:rFonts w:ascii="Times New Roman" w:cs="Times New Roman" w:eastAsia="Times New Roman" w:hAnsi="Times New Roman"/>
          <w:sz w:val="18"/>
          <w:szCs w:val="18"/>
          <w:color w:val="auto"/>
        </w:rPr>
        <w:t>” and, together, “</w:t>
      </w:r>
      <w:r>
        <w:rPr>
          <w:rFonts w:ascii="Times New Roman" w:cs="Times New Roman" w:eastAsia="Times New Roman" w:hAnsi="Times New Roman"/>
          <w:sz w:val="18"/>
          <w:szCs w:val="18"/>
          <w:b w:val="1"/>
          <w:bCs w:val="1"/>
          <w:color w:val="auto"/>
        </w:rPr>
        <w:t>Issuer Covered Persons</w:t>
      </w:r>
      <w:r>
        <w:rPr>
          <w:rFonts w:ascii="Times New Roman" w:cs="Times New Roman" w:eastAsia="Times New Roman" w:hAnsi="Times New Roman"/>
          <w:sz w:val="18"/>
          <w:szCs w:val="18"/>
          <w:color w:val="auto"/>
        </w:rPr>
        <w:t>”) is subject to any of the “Bad Actor” disqualifications described in Rule 506(d)(1)(i) to (viii) under the 1933 Act (a “</w:t>
      </w:r>
      <w:r>
        <w:rPr>
          <w:rFonts w:ascii="Times New Roman" w:cs="Times New Roman" w:eastAsia="Times New Roman" w:hAnsi="Times New Roman"/>
          <w:sz w:val="18"/>
          <w:szCs w:val="18"/>
          <w:b w:val="1"/>
          <w:bCs w:val="1"/>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Buyer a copy of any disclosures provided thereunder.</w:t>
      </w:r>
    </w:p>
    <w:p>
      <w:pPr>
        <w:spacing w:after="0" w:line="99" w:lineRule="exact"/>
        <w:rPr>
          <w:rFonts w:ascii="Times New Roman" w:cs="Times New Roman" w:eastAsia="Times New Roman" w:hAnsi="Times New Roman"/>
          <w:sz w:val="18"/>
          <w:szCs w:val="18"/>
          <w:color w:val="auto"/>
        </w:rPr>
      </w:pPr>
    </w:p>
    <w:p>
      <w:pPr>
        <w:ind w:left="439" w:right="140" w:hanging="439"/>
        <w:spacing w:after="0" w:line="282" w:lineRule="auto"/>
        <w:tabs>
          <w:tab w:leader="none" w:pos="43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The Company is not aware of any Person that has been or will be paid (directly or indirectly) remuneration for solicitation of the Buyer or potential purchasers in connection with the sale of any Regulation D Securities.</w:t>
      </w:r>
    </w:p>
    <w:p>
      <w:pPr>
        <w:spacing w:after="0" w:line="67" w:lineRule="exact"/>
        <w:rPr>
          <w:rFonts w:ascii="Times New Roman" w:cs="Times New Roman" w:eastAsia="Times New Roman" w:hAnsi="Times New Roman"/>
          <w:sz w:val="18"/>
          <w:szCs w:val="18"/>
          <w:color w:val="auto"/>
        </w:rPr>
      </w:pPr>
    </w:p>
    <w:p>
      <w:pPr>
        <w:ind w:left="439" w:right="640" w:hanging="439"/>
        <w:spacing w:after="0" w:line="282" w:lineRule="auto"/>
        <w:tabs>
          <w:tab w:leader="none" w:pos="43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Additional Agreements</w:t>
      </w:r>
      <w:r>
        <w:rPr>
          <w:rFonts w:ascii="Times New Roman" w:cs="Times New Roman" w:eastAsia="Times New Roman" w:hAnsi="Times New Roman"/>
          <w:sz w:val="18"/>
          <w:szCs w:val="18"/>
          <w:color w:val="auto"/>
        </w:rPr>
        <w:t>. The Company does not have any agreement or understanding with the Buyer with respect to the transactions contemplated by the Transaction Documents other than as specified in the Transaction Documents.</w:t>
      </w:r>
    </w:p>
    <w:p>
      <w:pPr>
        <w:spacing w:after="0" w:line="67" w:lineRule="exact"/>
        <w:rPr>
          <w:rFonts w:ascii="Times New Roman" w:cs="Times New Roman" w:eastAsia="Times New Roman" w:hAnsi="Times New Roman"/>
          <w:sz w:val="18"/>
          <w:szCs w:val="18"/>
          <w:color w:val="auto"/>
        </w:rPr>
      </w:pPr>
    </w:p>
    <w:p>
      <w:pPr>
        <w:ind w:left="439" w:right="120" w:hanging="439"/>
        <w:spacing w:after="0" w:line="282" w:lineRule="auto"/>
        <w:tabs>
          <w:tab w:leader="none" w:pos="43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Utility Holding Act</w:t>
      </w:r>
      <w:r>
        <w:rPr>
          <w:rFonts w:ascii="Times New Roman" w:cs="Times New Roman" w:eastAsia="Times New Roman" w:hAnsi="Times New Roman"/>
          <w:sz w:val="18"/>
          <w:szCs w:val="18"/>
          <w:color w:val="auto"/>
        </w:rPr>
        <w:t>. None of the Company nor any of its Subsidiaries is a “holding company,” or an “affiliate” of a “holding company,” as such terms are defined in the Public Utility Holding Act of 2005.</w:t>
      </w:r>
    </w:p>
    <w:p>
      <w:pPr>
        <w:spacing w:after="0" w:line="67" w:lineRule="exact"/>
        <w:rPr>
          <w:rFonts w:ascii="Times New Roman" w:cs="Times New Roman" w:eastAsia="Times New Roman" w:hAnsi="Times New Roman"/>
          <w:sz w:val="18"/>
          <w:szCs w:val="18"/>
          <w:color w:val="auto"/>
        </w:rPr>
      </w:pPr>
    </w:p>
    <w:p>
      <w:pPr>
        <w:ind w:left="439" w:right="200" w:hanging="439"/>
        <w:spacing w:after="0" w:line="282" w:lineRule="auto"/>
        <w:tabs>
          <w:tab w:leader="none" w:pos="43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Federal Power Act</w:t>
      </w:r>
      <w:r>
        <w:rPr>
          <w:rFonts w:ascii="Times New Roman" w:cs="Times New Roman" w:eastAsia="Times New Roman" w:hAnsi="Times New Roman"/>
          <w:sz w:val="18"/>
          <w:szCs w:val="18"/>
          <w:color w:val="auto"/>
        </w:rPr>
        <w:t>. None of the Company nor any of its Subsidiaries is subject to regulation as a “public utility” under the Federal Power Act, as amended.</w:t>
      </w:r>
    </w:p>
    <w:p>
      <w:pPr>
        <w:spacing w:after="0" w:line="67" w:lineRule="exact"/>
        <w:rPr>
          <w:rFonts w:ascii="Times New Roman" w:cs="Times New Roman" w:eastAsia="Times New Roman" w:hAnsi="Times New Roman"/>
          <w:sz w:val="18"/>
          <w:szCs w:val="18"/>
          <w:color w:val="auto"/>
        </w:rPr>
      </w:pPr>
    </w:p>
    <w:p>
      <w:pPr>
        <w:ind w:left="439" w:hanging="439"/>
        <w:spacing w:after="0" w:line="253" w:lineRule="auto"/>
        <w:tabs>
          <w:tab w:leader="none" w:pos="43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The Company confirms that neither it nor any other Person acting on its behalf has provided the Buyer or its agents or counsel with any information that constitutes or could reasonably be expected to constitute material, non-public information concerning the Company or any of its Subsidiaries, other than the existence of the transactions contemplated by this Agreement and the other Transaction Documents. The Company understands and confirms that the Buyer will rely on the foregoing representations in effecting transactions in securities of the Company. All disclosure provided to the Buyer regarding the Company and its Subsidiaries, their businesses and the transactions contemplated hereby, including the schedules to this Agreement, furnished by or on behalf of the Company or any of its Subsidiaries is true and correct and does not contain any untrue statement of a material fact or omit to state any material fact necessary in order to make the statements made therein, in the light of the circumstances under which they were made, not misleading. All of the written information furnished after the Execution Date by or on behalf of the Company or any of its Subsidiaries to the Buyer pursuant to or in connection with this Agreement and the other Transaction Documents, taken as a whole, will be true and correct in all material respects as of the date on which such information is so provided and will not contain any untrue statement of a material fact or omit to state any material fact necessary in order to make the statements made therein, in the light of the</w:t>
      </w:r>
    </w:p>
    <w:p>
      <w:pPr>
        <w:spacing w:after="0" w:line="120"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019"/>
          </w:cols>
          <w:pgMar w:left="1421" w:top="270" w:right="459" w:bottom="1440" w:gutter="0" w:footer="0" w:header="0"/>
        </w:sectPr>
      </w:pPr>
    </w:p>
    <w:bookmarkStart w:id="164" w:name="page165"/>
    <w:bookmarkEnd w:id="164"/>
    <w:p>
      <w:pPr>
        <w:ind w:left="1000"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circumstances under which they were made, not misleading. Each press release issued by the Company or any of its Subsidiaries during the twelve (12) months preceding the date of this Agreement did not at the time of release contain any untrue statement of a material fact or omit to state a material fact required to be stated therein or necessary in order to make the statements therein, in the light of the circumstances under which they are made, not misleading. No event or circumstance has occurred or information exists with respect to the Company or any of its Subsidiaries or its or their business, properties, liabilities, prospects, operations (including results thereof) or conditions (financial or otherwise), which, under applicable law, rule or regulation, requires public disclosure at or before the Execution Date or announcement by the Company but which has not been so publicly disclosed. The Company acknowledges and agrees that the Buyer does not make or has not made any representations or warranties with respect to the transactions contemplated hereby other than those specifically set forth in Section 2.</w:t>
      </w:r>
    </w:p>
    <w:p>
      <w:pPr>
        <w:spacing w:after="0" w:line="90" w:lineRule="exact"/>
        <w:rPr>
          <w:sz w:val="20"/>
          <w:szCs w:val="20"/>
          <w:color w:val="auto"/>
        </w:rPr>
      </w:pPr>
    </w:p>
    <w:p>
      <w:pPr>
        <w:ind w:left="540" w:hanging="532"/>
        <w:spacing w:after="0"/>
        <w:tabs>
          <w:tab w:leader="none" w:pos="54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w:t>
      </w:r>
    </w:p>
    <w:p>
      <w:pPr>
        <w:spacing w:after="0" w:line="134" w:lineRule="exact"/>
        <w:rPr>
          <w:rFonts w:ascii="Times New Roman" w:cs="Times New Roman" w:eastAsia="Times New Roman" w:hAnsi="Times New Roman"/>
          <w:sz w:val="18"/>
          <w:szCs w:val="18"/>
          <w:b w:val="1"/>
          <w:bCs w:val="1"/>
          <w:color w:val="auto"/>
        </w:rPr>
      </w:pPr>
    </w:p>
    <w:p>
      <w:pPr>
        <w:ind w:left="1000" w:right="140" w:hanging="439"/>
        <w:spacing w:after="0" w:line="266" w:lineRule="auto"/>
        <w:tabs>
          <w:tab w:leader="none" w:pos="10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Efforts</w:t>
      </w:r>
      <w:r>
        <w:rPr>
          <w:rFonts w:ascii="Times New Roman" w:cs="Times New Roman" w:eastAsia="Times New Roman" w:hAnsi="Times New Roman"/>
          <w:sz w:val="18"/>
          <w:szCs w:val="18"/>
          <w:color w:val="auto"/>
        </w:rPr>
        <w:t>. The Buyer shall use its commercially reasonable efforts to timely satisfy each of the covenants hereunder and conditions to be satisfied by it as provided in Section 6 of this Agreement. The Company shall use its commercially reasonable efforts to timely satisfy each of the covenants hereunder and conditions to be satisfied by it as provided in Section 7 of this Agreement.</w:t>
      </w:r>
    </w:p>
    <w:p>
      <w:pPr>
        <w:spacing w:after="0" w:line="81" w:lineRule="exact"/>
        <w:rPr>
          <w:rFonts w:ascii="Times New Roman" w:cs="Times New Roman" w:eastAsia="Times New Roman" w:hAnsi="Times New Roman"/>
          <w:sz w:val="18"/>
          <w:szCs w:val="18"/>
          <w:color w:val="auto"/>
        </w:rPr>
      </w:pPr>
    </w:p>
    <w:p>
      <w:pPr>
        <w:ind w:left="1000" w:hanging="439"/>
        <w:spacing w:after="0" w:line="253" w:lineRule="auto"/>
        <w:tabs>
          <w:tab w:leader="none" w:pos="10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D and Blue Sky</w:t>
      </w:r>
      <w:r>
        <w:rPr>
          <w:rFonts w:ascii="Times New Roman" w:cs="Times New Roman" w:eastAsia="Times New Roman" w:hAnsi="Times New Roman"/>
          <w:sz w:val="18"/>
          <w:szCs w:val="18"/>
          <w:color w:val="auto"/>
        </w:rPr>
        <w:t>. The Company shall file a Form D with respect to the Securities as required under Regulation D and to provide a copy thereof to the Buyer promptly after such filing. The Company shall, on or before the Closing Date, take such action as the Company shall reasonably determine is necessary in order to obtain an exemption for, or to, qualify the Securities for sale to the Buyer at the Closing pursuant to this Agreement under applicable securities or “Blue Sky” laws of the states of the United States (or to obtain an exemption from such qualification), and shall provide evidence of any such action so taken to the Buyer on or prior to the Closing Date. Without limiting any other obligation of the Company under this Agreement, the Company shall timely make all filings and reports relating to the offer and sale of the Securities required under all applicable securities laws (including, without limitation, all applicable federal securities laws and all applicable “Blue Sky” laws), and the Company shall comply with all applicable foreign, federal, state and local laws, statutes, rules, regulations and the like relating to the offering and sale of the Securities to the Buyer.</w:t>
      </w:r>
    </w:p>
    <w:p>
      <w:pPr>
        <w:spacing w:after="0" w:line="95" w:lineRule="exact"/>
        <w:rPr>
          <w:rFonts w:ascii="Times New Roman" w:cs="Times New Roman" w:eastAsia="Times New Roman" w:hAnsi="Times New Roman"/>
          <w:sz w:val="18"/>
          <w:szCs w:val="18"/>
          <w:color w:val="auto"/>
        </w:rPr>
      </w:pPr>
    </w:p>
    <w:p>
      <w:pPr>
        <w:ind w:left="1000" w:right="200" w:hanging="439"/>
        <w:spacing w:after="0" w:line="262" w:lineRule="auto"/>
        <w:tabs>
          <w:tab w:leader="none" w:pos="10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Status</w:t>
      </w:r>
      <w:r>
        <w:rPr>
          <w:rFonts w:ascii="Times New Roman" w:cs="Times New Roman" w:eastAsia="Times New Roman" w:hAnsi="Times New Roman"/>
          <w:sz w:val="18"/>
          <w:szCs w:val="18"/>
          <w:color w:val="auto"/>
        </w:rPr>
        <w:t>. Until the date on which the Buyer shall have sold all of the Registrable Securities (the “</w:t>
      </w:r>
      <w:r>
        <w:rPr>
          <w:rFonts w:ascii="Times New Roman" w:cs="Times New Roman" w:eastAsia="Times New Roman" w:hAnsi="Times New Roman"/>
          <w:sz w:val="18"/>
          <w:szCs w:val="18"/>
          <w:b w:val="1"/>
          <w:bCs w:val="1"/>
          <w:color w:val="auto"/>
        </w:rPr>
        <w:t>Reporting Period</w:t>
      </w:r>
      <w:r>
        <w:rPr>
          <w:rFonts w:ascii="Times New Roman" w:cs="Times New Roman" w:eastAsia="Times New Roman" w:hAnsi="Times New Roman"/>
          <w:sz w:val="18"/>
          <w:szCs w:val="18"/>
          <w:color w:val="auto"/>
        </w:rPr>
        <w:t>”), the Company shall timely file all reports required to be filed with the SEC pursuant to the 1934 Act, and the Company shall not terminate its status as an issuer required to file reports under the 1934 Act even if the 1934 Act or the rules and regulations thereunder would no longer require or otherwise permit such termination.</w:t>
      </w:r>
    </w:p>
    <w:p>
      <w:pPr>
        <w:spacing w:after="0" w:line="85" w:lineRule="exact"/>
        <w:rPr>
          <w:rFonts w:ascii="Times New Roman" w:cs="Times New Roman" w:eastAsia="Times New Roman" w:hAnsi="Times New Roman"/>
          <w:sz w:val="18"/>
          <w:szCs w:val="18"/>
          <w:color w:val="auto"/>
        </w:rPr>
      </w:pPr>
    </w:p>
    <w:p>
      <w:pPr>
        <w:ind w:left="1000" w:right="80" w:hanging="439"/>
        <w:spacing w:after="0" w:line="258" w:lineRule="auto"/>
        <w:tabs>
          <w:tab w:leader="none" w:pos="10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The Company will use the proceeds from the sale of the Securities for general corporate purposes, but not, directly or indirectly, for (i) the satisfaction of any indebtedness of the Company or any of its Subsidiaries, other than (A) accrued liabilities and trade accounts payable incurred in the ordinary course of business, or (B) as set forth on </w:t>
      </w:r>
      <w:r>
        <w:rPr>
          <w:rFonts w:ascii="Times New Roman" w:cs="Times New Roman" w:eastAsia="Times New Roman" w:hAnsi="Times New Roman"/>
          <w:sz w:val="18"/>
          <w:szCs w:val="18"/>
          <w:u w:val="single" w:color="auto"/>
          <w:color w:val="auto"/>
        </w:rPr>
        <w:t>Schedule 4(d)</w:t>
      </w:r>
      <w:r>
        <w:rPr>
          <w:rFonts w:ascii="Times New Roman" w:cs="Times New Roman" w:eastAsia="Times New Roman" w:hAnsi="Times New Roman"/>
          <w:sz w:val="18"/>
          <w:szCs w:val="18"/>
          <w:color w:val="auto"/>
        </w:rPr>
        <w:t xml:space="preserve"> hereto, (ii) the redemption or repurchase of any securities of the Company or any of its Subsidiaries, or (iii) the settlement of any outstanding litigation.</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80"/>
          </w:cols>
          <w:pgMar w:left="860" w:top="270" w:right="459" w:bottom="1440" w:gutter="0" w:footer="0" w:header="0"/>
        </w:sectPr>
      </w:pPr>
    </w:p>
    <w:bookmarkStart w:id="165" w:name="page166"/>
    <w:bookmarkEnd w:id="165"/>
    <w:p>
      <w:pPr>
        <w:ind w:left="439" w:hanging="439"/>
        <w:spacing w:after="0" w:line="253" w:lineRule="auto"/>
        <w:tabs>
          <w:tab w:leader="none" w:pos="43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Information</w:t>
      </w:r>
      <w:r>
        <w:rPr>
          <w:rFonts w:ascii="Times New Roman" w:cs="Times New Roman" w:eastAsia="Times New Roman" w:hAnsi="Times New Roman"/>
          <w:sz w:val="18"/>
          <w:szCs w:val="18"/>
          <w:color w:val="auto"/>
        </w:rPr>
        <w:t>. The Company agrees to send the following to the Buyer during the Reporting Period (i) unless the following are filed with the SEC through EDGAR and are available to the public through the EDGAR system, within one (1) Business Day after the filing thereof with the SEC, a copy of its Annual Reports on Form 10-K and Quarterly Reports on Form 10-Q, any interim reports or any consolidated balance sheets, income statements, stockholders’ equity statements and/or cash flow statements for any period other than annual, any Current Reports on Form 8-K and any registration statements (other than on Form S-8) or amendments filed pursuant to the 1933 Act, (ii) unless the following are either filed with the SEC through EDGAR or are otherwise widely disseminated via a recognized news release service (such as PR Newswire), on the same day as the release thereof, e-mail copies of all press releases issued by the Company or any of its Subsidiaries and (iii) unless the following are filed with the SEC through EDGAR, copies of any notices and other information made available or given to the stockholders of the Company generally, contemporaneously with the making available or giving thereof to the stockholders.</w:t>
      </w:r>
    </w:p>
    <w:p>
      <w:pPr>
        <w:spacing w:after="0" w:line="99" w:lineRule="exact"/>
        <w:rPr>
          <w:rFonts w:ascii="Times New Roman" w:cs="Times New Roman" w:eastAsia="Times New Roman" w:hAnsi="Times New Roman"/>
          <w:sz w:val="18"/>
          <w:szCs w:val="18"/>
          <w:color w:val="auto"/>
        </w:rPr>
      </w:pPr>
    </w:p>
    <w:p>
      <w:pPr>
        <w:ind w:left="439" w:hanging="439"/>
        <w:spacing w:after="0" w:line="254" w:lineRule="auto"/>
        <w:tabs>
          <w:tab w:leader="none" w:pos="43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promptly secure the listing or designation for quotation (as the case may be) of all of the Registrable Securities upon each national securities exchange and automated quotation system, if any, upon which the Common Stock is then listed or designated for quotation (as the case may be) (subject to official notice of issuance) and shall maintain such listing or designation for quotation (as the case may be) of all Registrable Securities from time to time issuable under the terms of the Transaction Documents on such national securities exchange or automated quotation system. The Company shall maintain the Common Stock’s listing or authorization for quotation (as the case may be) on a Trading Market. Neither the Company nor any of its Subsidiaries shall take any action which could be reasonably expected to result in the delisting or suspension of the Common Stock on a Trading Market. The Company shall pay all fees and expenses in connection with satisfying its obligations under this Section 4(f).</w:t>
      </w:r>
    </w:p>
    <w:p>
      <w:pPr>
        <w:spacing w:after="0" w:line="93" w:lineRule="exact"/>
        <w:rPr>
          <w:rFonts w:ascii="Times New Roman" w:cs="Times New Roman" w:eastAsia="Times New Roman" w:hAnsi="Times New Roman"/>
          <w:sz w:val="18"/>
          <w:szCs w:val="18"/>
          <w:color w:val="auto"/>
        </w:rPr>
      </w:pPr>
    </w:p>
    <w:p>
      <w:pPr>
        <w:ind w:left="439" w:right="60" w:hanging="439"/>
        <w:spacing w:after="0" w:line="254" w:lineRule="auto"/>
        <w:tabs>
          <w:tab w:leader="none" w:pos="43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Company shall reimburse the Buyer a non-accountable amount of $20,000 for all costs and expenses incurred by it or its affiliates in connection with the structuring, documentation, negotiation and closing of the transactions contemplated by the Transaction Documents and shall be withheld by the Buyer from its Purchase Price at the Closing. The Company shall be responsible for the payment of any placement agent’s fees, financial advisory fees, transfer agent fees, DTC (as defined below) fees or broker’s commissions (other than for Persons engaged by the Buyer) relating to or arising out of the transactions contemplated hereby. The Company shall pay, and hold the Buyer harmless against, any liability, loss or expense (including, without limitation, reasonable attorneys’ fees and out-of-pocket expenses) arising in connection with any claim relating to any such payment. Except as otherwise set forth in the Transaction Documents, each party to this Agreement shall bear its own expenses in connection with the sale of the Securities to the Buyer.</w:t>
      </w:r>
    </w:p>
    <w:p>
      <w:pPr>
        <w:spacing w:after="0" w:line="93" w:lineRule="exact"/>
        <w:rPr>
          <w:rFonts w:ascii="Times New Roman" w:cs="Times New Roman" w:eastAsia="Times New Roman" w:hAnsi="Times New Roman"/>
          <w:sz w:val="18"/>
          <w:szCs w:val="18"/>
          <w:color w:val="auto"/>
        </w:rPr>
      </w:pPr>
    </w:p>
    <w:p>
      <w:pPr>
        <w:ind w:left="439" w:right="20" w:hanging="439"/>
        <w:spacing w:after="0" w:line="255" w:lineRule="auto"/>
        <w:tabs>
          <w:tab w:leader="none" w:pos="43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Pledge of Securities</w:t>
      </w:r>
      <w:r>
        <w:rPr>
          <w:rFonts w:ascii="Times New Roman" w:cs="Times New Roman" w:eastAsia="Times New Roman" w:hAnsi="Times New Roman"/>
          <w:sz w:val="18"/>
          <w:szCs w:val="18"/>
          <w:color w:val="auto"/>
        </w:rPr>
        <w:t>. Notwithstanding anything to the contrary contained in this Agreement, the Company acknowledges and agrees that the Securities may be pledged by the Buyer in connection with a bona fide margin agreement or other loan or financing arrangement that is secured by the Securities. The pledge of Securities shall not be deemed to be a transfer, sale or assignment of the Securities hereunder, and no Buyer effecting a pledge of Securities shall be required to provide the Company with any notice thereof or otherwise make any delivery to the Company pursuant to this Agreement or any other Transaction Document. The Company hereby agrees to execute and deliver such documentation as a pledgee of the Securities may reasonably request in connection with a pledge of the Securities to such pledgee by the Buyer.</w:t>
      </w:r>
    </w:p>
    <w:p>
      <w:pPr>
        <w:spacing w:after="0" w:line="121"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9999"/>
          </w:cols>
          <w:pgMar w:left="1421" w:top="270" w:right="479" w:bottom="1440" w:gutter="0" w:footer="0" w:header="0"/>
        </w:sectPr>
      </w:pPr>
    </w:p>
    <w:bookmarkStart w:id="166" w:name="page167"/>
    <w:bookmarkEnd w:id="166"/>
    <w:p>
      <w:pPr>
        <w:ind w:left="439" w:hanging="439"/>
        <w:spacing w:after="0"/>
        <w:tabs>
          <w:tab w:leader="none" w:pos="43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Disclosure of Transactions and Other Material Information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19" w:hanging="433"/>
        <w:spacing w:after="0" w:line="252" w:lineRule="auto"/>
        <w:tabs>
          <w:tab w:leader="none" w:pos="1419"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Transaction</w:t>
      </w:r>
      <w:r>
        <w:rPr>
          <w:rFonts w:ascii="Times New Roman" w:cs="Times New Roman" w:eastAsia="Times New Roman" w:hAnsi="Times New Roman"/>
          <w:sz w:val="18"/>
          <w:szCs w:val="18"/>
          <w:color w:val="auto"/>
        </w:rPr>
        <w:t>. The Company shall, on or before 9:30 a.m., New York time, on the Business Day after the Execution Date, issue a press release (the “</w:t>
      </w:r>
      <w:r>
        <w:rPr>
          <w:rFonts w:ascii="Times New Roman" w:cs="Times New Roman" w:eastAsia="Times New Roman" w:hAnsi="Times New Roman"/>
          <w:sz w:val="18"/>
          <w:szCs w:val="18"/>
          <w:b w:val="1"/>
          <w:bCs w:val="1"/>
          <w:color w:val="auto"/>
        </w:rPr>
        <w:t>Press Release</w:t>
      </w:r>
      <w:r>
        <w:rPr>
          <w:rFonts w:ascii="Times New Roman" w:cs="Times New Roman" w:eastAsia="Times New Roman" w:hAnsi="Times New Roman"/>
          <w:sz w:val="18"/>
          <w:szCs w:val="18"/>
          <w:color w:val="auto"/>
        </w:rPr>
        <w:t>”) reasonably acceptable to the Buyer disclosing all the material terms of the transactions contemplated by the Transaction Documents. On or before 9:30 a.m., New York time, no later than the fourth (4th) Business Day after the date of this Agreement, the Company shall file a Current Report on Form 8-K describing all the material terms of the transactions contemplated by the Transaction Documents in the form required by the 1934 Act and attaching all the material Transaction Documents (including, without limitation, this Agreement (and all schedules to this Agreement), the form of Certificate of Designations and the form of the Registration Rights Agreement) (including all attachments, the “</w:t>
      </w:r>
      <w:r>
        <w:rPr>
          <w:rFonts w:ascii="Times New Roman" w:cs="Times New Roman" w:eastAsia="Times New Roman" w:hAnsi="Times New Roman"/>
          <w:sz w:val="18"/>
          <w:szCs w:val="18"/>
          <w:b w:val="1"/>
          <w:bCs w:val="1"/>
          <w:color w:val="auto"/>
        </w:rPr>
        <w:t>8-K Filing</w:t>
      </w:r>
      <w:r>
        <w:rPr>
          <w:rFonts w:ascii="Times New Roman" w:cs="Times New Roman" w:eastAsia="Times New Roman" w:hAnsi="Times New Roman"/>
          <w:sz w:val="18"/>
          <w:szCs w:val="18"/>
          <w:color w:val="auto"/>
        </w:rPr>
        <w:t>”). From and after the filing of the 8-K Filing, the Company shall have disclosed all material, non-public information (if any) knowingly provided to the Buyer by the Company or any of its Subsidiaries or any of their respective officers, directors, employees or agents in connection with the transactions contemplated by the Transaction Documents. In addition, effective upon the filing of the 8-K Filing, the Company acknowledges and agrees that any and all confidentiality or similar obligations under any agreement, whether written or oral, between the Company, any of its Subsidiaries or any of their respective officers, directors, affiliates, employees or agents, on the one hand, and the Buyer or any of its affiliates, on the other hand, shall terminate.</w:t>
      </w:r>
    </w:p>
    <w:p>
      <w:pPr>
        <w:spacing w:after="0" w:line="101" w:lineRule="exact"/>
        <w:rPr>
          <w:rFonts w:ascii="Times New Roman" w:cs="Times New Roman" w:eastAsia="Times New Roman" w:hAnsi="Times New Roman"/>
          <w:sz w:val="18"/>
          <w:szCs w:val="18"/>
          <w:color w:val="auto"/>
        </w:rPr>
      </w:pPr>
    </w:p>
    <w:p>
      <w:pPr>
        <w:ind w:left="1419" w:right="20" w:hanging="433"/>
        <w:spacing w:after="0" w:line="252" w:lineRule="auto"/>
        <w:tabs>
          <w:tab w:leader="none" w:pos="1419"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Disclosure</w:t>
      </w:r>
      <w:r>
        <w:rPr>
          <w:rFonts w:ascii="Times New Roman" w:cs="Times New Roman" w:eastAsia="Times New Roman" w:hAnsi="Times New Roman"/>
          <w:sz w:val="18"/>
          <w:szCs w:val="18"/>
          <w:color w:val="auto"/>
        </w:rPr>
        <w:t>. The Company shall not, and the Company shall cause each of its Subsidiaries and each of its and their respective officers, directors, employees and agents not to, provide the Buyer with any material, non-public information regarding the Company or any of its Subsidiaries from and after the Execution Date without the express prior written consent of the Buyer (which may be granted or withheld in the Buyer’s sole discretion). In the event of a breach of any of the foregoing covenants, or any of the covenants or agreements contained in any other Transaction Document, by the Company, any of its Subsidiaries, or any of its or their respective officers, directors, employees and agents (as determined in the reasonable good faith judgment of the Buyer), in addition to any other remedy provided herein or in the Transaction Documents, the Buyer shall have the right to make a public disclosure, in the form of a press release, public advertisement or otherwise, of such breach or such material, non-public information, as applicable, without the prior approval by the Company, any of its Subsidiaries, or any of its or their respective officers, directors, employees or agents. The Buyer shall have no liability to the Company, any of its Subsidiaries, or any of its or their respective officers, directors, employees, affiliates, stockholders or agents, for any such disclosure, except in cases of the Buyer’s gross negligence, willful misconduct, or fraud. To the extent that the Company delivers any material, non-public information to the Buyer without the Buyer’s consent, the Company hereby covenants and agrees that the Buyer shall not have any duty of confidentiality with respect to, or a duty not to trade on the basis of, such material, non-public information. Subject to the foregoing, neither the Company, its Subsidiaries nor the Buyer shall issue any press releases or any other public statements with respect to the transactions contemplated hereby; provided, however, the Company shall be entitled, without the prior approval of the Buyer, to make the Press Release and any press release or other public disclosure with respect to such transactions (i) in substantial conformity with the 8-K Filing and contemporaneously therewith and (ii) as is required by applicable law and</w:t>
      </w:r>
    </w:p>
    <w:p>
      <w:pPr>
        <w:spacing w:after="0" w:line="122"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039"/>
          </w:cols>
          <w:pgMar w:left="1421" w:top="270" w:right="439" w:bottom="1440" w:gutter="0" w:footer="0" w:header="0"/>
        </w:sectPr>
      </w:pPr>
    </w:p>
    <w:bookmarkStart w:id="167" w:name="page168"/>
    <w:bookmarkEnd w:id="167"/>
    <w:p>
      <w:pPr>
        <w:ind w:left="1439"/>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regulations (provided that in the case of clause (i) the Buyer shall be consulted by the Company in connection with any such press release or other public disclosure prior to its release). Without the prior written consent of the Buyer (which may be granted or withheld in the Buyer’s sole discretion), the Company shall not (and shall cause each of its Subsidiaries and affiliates to not) disclose the name of the Buyer in any filing, announcement, release or otherwise. Notwithstanding anything contained in this Agreement to the contrary and without implication that the contrary would otherwise be true, the Company expressly acknowledges and agrees that the Buyer shall not have (unless expressly agreed to by the Buyer after the Execution Date in a written definitive and binding agreement executed by the Company and the Buyer), any duty of confidentiality with respect to, or a duty not to trade on the basis of, any material, non-public information regarding the Company or any of its Subsidiaries.</w:t>
      </w:r>
    </w:p>
    <w:p>
      <w:pPr>
        <w:spacing w:after="0" w:line="94" w:lineRule="exact"/>
        <w:rPr>
          <w:sz w:val="20"/>
          <w:szCs w:val="20"/>
          <w:color w:val="auto"/>
        </w:rPr>
      </w:pPr>
    </w:p>
    <w:p>
      <w:pPr>
        <w:ind w:left="439" w:hanging="439"/>
        <w:spacing w:after="0" w:line="253" w:lineRule="auto"/>
        <w:tabs>
          <w:tab w:leader="none" w:pos="43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Registration Statements</w:t>
      </w:r>
      <w:r>
        <w:rPr>
          <w:rFonts w:ascii="Times New Roman" w:cs="Times New Roman" w:eastAsia="Times New Roman" w:hAnsi="Times New Roman"/>
          <w:sz w:val="18"/>
          <w:szCs w:val="18"/>
          <w:color w:val="auto"/>
        </w:rPr>
        <w:t>. Except for securities being registered for the Buyer or as disclosed in the SEC Documents, related to or unrelated to this Agreement, until the Applicable Date (as defined below) and at any time thereafter while any Registration Statement is not effective or the prospectus contained therein is not available for use or any Current Public Information Failure (as defined in the Registration Rights Agreement) exists, the Company shall not file a registration statement or an offering statement under the 1933 Act relating to securities that are not the Registrable Securities (except for a registration statement on Form S-8 in connection with any employee benefit plan), or such supplements or amendments to registration statements that are outstanding and have been declared effective by the SEC as of the Execution Date (except solely to the extent necessary to revise any required disclosure or keep such registration statements effective and available). “</w:t>
      </w:r>
      <w:r>
        <w:rPr>
          <w:rFonts w:ascii="Times New Roman" w:cs="Times New Roman" w:eastAsia="Times New Roman" w:hAnsi="Times New Roman"/>
          <w:sz w:val="18"/>
          <w:szCs w:val="18"/>
          <w:b w:val="1"/>
          <w:bCs w:val="1"/>
          <w:color w:val="auto"/>
        </w:rPr>
        <w:t>Applicable Date</w:t>
      </w:r>
      <w:r>
        <w:rPr>
          <w:rFonts w:ascii="Times New Roman" w:cs="Times New Roman" w:eastAsia="Times New Roman" w:hAnsi="Times New Roman"/>
          <w:sz w:val="18"/>
          <w:szCs w:val="18"/>
          <w:color w:val="auto"/>
        </w:rPr>
        <w:t>” means the earlier of (x) the first date on which the initial Registration Statement which includes the Registrable Securities is declared effective by the SEC (and each prospectus contained therein is available for use on such date) or (y) the first date on which all of the Registrable Securities are eligible to be resold by the Buyer pursuant to Rule 144 (or, if a Current Public Information Failure has occurred and is continuing, such later date after which the Company has cured such Current Public Information Failure).</w:t>
      </w:r>
    </w:p>
    <w:p>
      <w:pPr>
        <w:spacing w:after="0" w:line="95" w:lineRule="exact"/>
        <w:rPr>
          <w:rFonts w:ascii="Times New Roman" w:cs="Times New Roman" w:eastAsia="Times New Roman" w:hAnsi="Times New Roman"/>
          <w:sz w:val="18"/>
          <w:szCs w:val="18"/>
          <w:color w:val="auto"/>
        </w:rPr>
      </w:pPr>
    </w:p>
    <w:p>
      <w:pPr>
        <w:ind w:left="439" w:right="80" w:hanging="439"/>
        <w:spacing w:after="0" w:line="244" w:lineRule="auto"/>
        <w:tabs>
          <w:tab w:leader="none" w:pos="43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Issuance of Securities</w:t>
      </w:r>
      <w:r>
        <w:rPr>
          <w:rFonts w:ascii="Times New Roman" w:cs="Times New Roman" w:eastAsia="Times New Roman" w:hAnsi="Times New Roman"/>
          <w:sz w:val="18"/>
          <w:szCs w:val="18"/>
          <w:color w:val="auto"/>
        </w:rPr>
        <w:t>. So long as the Buyer beneficially owns any shares of Series P Preferred Stock, the Company will not, without the prior written consent of the Buyer, issue any Preferred Shares (other than to the Buyer as contemplated hereby) and the Company shall not issue any other securities that would cause a breach or default under the Certificate of Designations. The Company agrees that for the period commencing on the Execution Date and ending on the date immediately following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Business Day after the Applicable Date (provided that such period shall be extended by the number of calendar days during such period and any extension thereof contemplated by this proviso on which any Registration Statement is not effective or any prospectus contained therein is not available for use or any Current Public Information Failure exists)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neither the Company nor any of its Subsidiaries shall directly or indirectly issue, offer, sell, grant any option or right to purchase, or otherwise dispose of (or announce any issuance, offer, sale, grant of any option or right to purchase or other disposition of) any equity security or any equity-linked or related security (including, without limitation, any “equity security” (as that term is defined under Rule 405 promulgated under the 1933 Act), any Convertible Securities, any debt, any preferred stock or any purchase rights) (any such issuance, offer, sale, grant, disposition or announcement (whether occurring during the Restricted Period or at any time thereafter) is referred to as a “</w:t>
      </w:r>
      <w:r>
        <w:rPr>
          <w:rFonts w:ascii="Times New Roman" w:cs="Times New Roman" w:eastAsia="Times New Roman" w:hAnsi="Times New Roman"/>
          <w:sz w:val="18"/>
          <w:szCs w:val="18"/>
          <w:b w:val="1"/>
          <w:bCs w:val="1"/>
          <w:color w:val="auto"/>
        </w:rPr>
        <w:t>Subsequent Placement</w:t>
      </w:r>
      <w:r>
        <w:rPr>
          <w:rFonts w:ascii="Times New Roman" w:cs="Times New Roman" w:eastAsia="Times New Roman" w:hAnsi="Times New Roman"/>
          <w:sz w:val="18"/>
          <w:szCs w:val="18"/>
          <w:color w:val="auto"/>
        </w:rPr>
        <w:t>”). Notwithstanding the foregoing, this Section 4(k) shall not apply to any Subsequent Placement that is conducted (i) pursuant to Section 3(a)(9) exchanges with</w:t>
      </w:r>
    </w:p>
    <w:p>
      <w:pPr>
        <w:spacing w:after="0" w:line="133"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9999"/>
          </w:cols>
          <w:pgMar w:left="1421" w:top="270" w:right="479" w:bottom="1440" w:gutter="0" w:footer="0" w:header="0"/>
        </w:sectPr>
      </w:pPr>
    </w:p>
    <w:bookmarkStart w:id="168" w:name="page169"/>
    <w:bookmarkEnd w:id="168"/>
    <w:p>
      <w:pPr>
        <w:ind w:left="439"/>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current holders of Company securities as listed on </w:t>
      </w:r>
      <w:r>
        <w:rPr>
          <w:rFonts w:ascii="Times New Roman" w:cs="Times New Roman" w:eastAsia="Times New Roman" w:hAnsi="Times New Roman"/>
          <w:sz w:val="18"/>
          <w:szCs w:val="18"/>
          <w:u w:val="single" w:color="auto"/>
          <w:color w:val="auto"/>
        </w:rPr>
        <w:t>Schedule 4(k)</w:t>
      </w:r>
      <w:r>
        <w:rPr>
          <w:rFonts w:ascii="Times New Roman" w:cs="Times New Roman" w:eastAsia="Times New Roman" w:hAnsi="Times New Roman"/>
          <w:sz w:val="18"/>
          <w:szCs w:val="18"/>
          <w:color w:val="auto"/>
        </w:rPr>
        <w:t xml:space="preserve"> hereto, (ii) pursuant to the ELOC Agreement, (iii) pursuant to the terms of the Certificate of Designation of Preferences, Rights and Limitations of Series O Convertible Preferred Stock of the Company, or (iv) in connection with (A) an acquisition, business combination or strategic transaction approved by the board of directors of the Company or (B) an investment by the Company approved by the board of directors of the Company in any party which is not prior to such transaction a Company Affiliate (whether by merger, consolidation, stock swap, sale of assets or securities, or otherwise) (each, an “</w:t>
      </w:r>
      <w:r>
        <w:rPr>
          <w:rFonts w:ascii="Times New Roman" w:cs="Times New Roman" w:eastAsia="Times New Roman" w:hAnsi="Times New Roman"/>
          <w:sz w:val="18"/>
          <w:szCs w:val="18"/>
          <w:b w:val="1"/>
          <w:bCs w:val="1"/>
          <w:color w:val="auto"/>
        </w:rPr>
        <w:t>Exempted Issuance</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b w:val="1"/>
          <w:bCs w:val="1"/>
          <w:color w:val="auto"/>
        </w:rPr>
        <w:t>Exempted Issuances</w:t>
      </w:r>
      <w:r>
        <w:rPr>
          <w:rFonts w:ascii="Times New Roman" w:cs="Times New Roman" w:eastAsia="Times New Roman" w:hAnsi="Times New Roman"/>
          <w:sz w:val="18"/>
          <w:szCs w:val="18"/>
          <w:color w:val="auto"/>
        </w:rPr>
        <w:t>”). For purposes hereof “</w:t>
      </w:r>
      <w:r>
        <w:rPr>
          <w:rFonts w:ascii="Times New Roman" w:cs="Times New Roman" w:eastAsia="Times New Roman" w:hAnsi="Times New Roman"/>
          <w:sz w:val="18"/>
          <w:szCs w:val="18"/>
          <w:b w:val="1"/>
          <w:bCs w:val="1"/>
          <w:color w:val="auto"/>
        </w:rPr>
        <w:t>ELOC Agreement</w:t>
      </w:r>
      <w:r>
        <w:rPr>
          <w:rFonts w:ascii="Times New Roman" w:cs="Times New Roman" w:eastAsia="Times New Roman" w:hAnsi="Times New Roman"/>
          <w:sz w:val="18"/>
          <w:szCs w:val="18"/>
          <w:color w:val="auto"/>
        </w:rPr>
        <w:t>” means that certain securities purchase agreement, dated June 9, 2026, by and between the Company and Buyer for a $40 million equity line of credit.</w:t>
      </w:r>
    </w:p>
    <w:p>
      <w:pPr>
        <w:spacing w:after="0" w:line="97" w:lineRule="exact"/>
        <w:rPr>
          <w:sz w:val="20"/>
          <w:szCs w:val="20"/>
          <w:color w:val="auto"/>
        </w:rPr>
      </w:pPr>
    </w:p>
    <w:p>
      <w:pPr>
        <w:ind w:left="439" w:right="40" w:hanging="439"/>
        <w:spacing w:after="0" w:line="253" w:lineRule="auto"/>
        <w:tabs>
          <w:tab w:leader="none" w:pos="43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So long as any of the Preferred Shares remain outstanding, the Company shall take all action necessary to at all times have authorized, and reserved for the purpose of issuance, no less than the sum of 100% of the maximum number of shares of Common Stock issuable upon redemption of all the Preferred Shares then outstanding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provided that at no time shall the number of shares of Common Stock reserved pursuant to this Section 4(k) be reduced other than proportionally in connection with any redemption of Preferred Shares. If at any time the number of shares of Common Stock authorized and reserved for issuance is not sufficient to meet the Required Reserve Amount, the Company will promptly take all corporate action necessary to authorize and reserve a sufficient number of shares, including, without limitation, calling a special meeting of stockholders to authorize additional shares to meet the Company’s obligations pursuant to the Transaction Documents, in the case of an insufficient number of authorized shares, obtain stockholder approval of an increase in such authorized number of shares, and voting the management shares of the Company in favor of an increase in the authorized shares of the Company to ensure that the number of authorized shares is sufficient to meet the Required Reserve Amount.</w:t>
      </w:r>
    </w:p>
    <w:p>
      <w:pPr>
        <w:spacing w:after="0" w:line="97" w:lineRule="exact"/>
        <w:rPr>
          <w:rFonts w:ascii="Times New Roman" w:cs="Times New Roman" w:eastAsia="Times New Roman" w:hAnsi="Times New Roman"/>
          <w:sz w:val="18"/>
          <w:szCs w:val="18"/>
          <w:color w:val="auto"/>
        </w:rPr>
      </w:pPr>
    </w:p>
    <w:p>
      <w:pPr>
        <w:ind w:left="439" w:hanging="439"/>
        <w:spacing w:after="0"/>
        <w:tabs>
          <w:tab w:leader="none" w:pos="43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Preferred Shares; Variable Securities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19" w:hanging="433"/>
        <w:spacing w:after="0" w:line="252" w:lineRule="auto"/>
        <w:tabs>
          <w:tab w:leader="none" w:pos="1419"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earlier of 270 days after the Closing, or, no Preferred Shares remain outstanding, the Company and each Subsidiary shall be prohibited from effecting or entering into an agreement to effect any Subsequent Placement involving a Variable Rate Transaction, unless such transaction is with the Buyer or its affiliate or an Exempted Issuance. “</w:t>
      </w:r>
      <w:r>
        <w:rPr>
          <w:rFonts w:ascii="Times New Roman" w:cs="Times New Roman" w:eastAsia="Times New Roman" w:hAnsi="Times New Roman"/>
          <w:sz w:val="18"/>
          <w:szCs w:val="18"/>
          <w:b w:val="1"/>
          <w:bCs w:val="1"/>
          <w:color w:val="auto"/>
        </w:rPr>
        <w:t>Variable Rate Transaction</w:t>
      </w:r>
      <w:r>
        <w:rPr>
          <w:rFonts w:ascii="Times New Roman" w:cs="Times New Roman" w:eastAsia="Times New Roman" w:hAnsi="Times New Roman"/>
          <w:sz w:val="18"/>
          <w:szCs w:val="18"/>
          <w:color w:val="auto"/>
        </w:rPr>
        <w:t>” means a transaction in which the Company or any Subsidiary (i) issues or sells any Convertible Securities either (A) at a conversion, exercise or exchange rate or other price that is based upon and/or varies with the trading prices of or quotations for the shares of Common Stock at any time after the initial issuance of such Convertible Securities, or (B) with a conversion, exercise or exchange price that is subject to being reset at some future date after the initial issuance of such Convertible Securities or upon the occurrence of specified or contingent events directly or indirectly related to the business of the Company or the market for the Common Stock, other than pursuant to a customary “weighted average” anti-dilution provision or (ii) enters into any agreement (including, without limitation, an equity line of credit or an “at-the-market” offering) whereby the Company or any Subsidiary may sell securities at a future determined price (other than standard and customary “preemptive” or “participation” rights). The Buyer shall be entitled to obtain injunctive relief against the Company and its Subsidiaries to preclude any such issuance, which remedy shall be in addition to any right to collect damages.</w:t>
      </w:r>
    </w:p>
    <w:p>
      <w:pPr>
        <w:spacing w:after="0" w:line="130"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019"/>
          </w:cols>
          <w:pgMar w:left="1421" w:top="270" w:right="459" w:bottom="1440" w:gutter="0" w:footer="0" w:header="0"/>
        </w:sectPr>
      </w:pPr>
    </w:p>
    <w:bookmarkStart w:id="169" w:name="page170"/>
    <w:bookmarkEnd w:id="169"/>
    <w:p>
      <w:pPr>
        <w:ind w:left="1419" w:hanging="433"/>
        <w:spacing w:after="0" w:line="254" w:lineRule="auto"/>
        <w:tabs>
          <w:tab w:leader="none" w:pos="1419"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long as any Preferred Shares remain outstanding, the Company hereby irrevocably grants to the Buyer a right of first refusal with respect to the Company entering into any “equity line” transactions, such that prior to entering into an such transaction with a third-party, the Company must first notify the Buyer in writing of the bona fide other offer from the third-party, and provide to the Buyer the opportunity to enter into an agreement with the Company on materially similar terms. Upon receipt of such notice, the Buyer shall have ten (10) business days to confirm in writing whether it will either consent to the Company entering into the transaction with the third-party, or if the Buyer will proceed with a similar transaction (in which case the parties shall work in good faith to complete the transaction within a 3 month period).</w:t>
      </w:r>
    </w:p>
    <w:p>
      <w:pPr>
        <w:spacing w:after="0" w:line="97" w:lineRule="exact"/>
        <w:rPr>
          <w:rFonts w:ascii="Times New Roman" w:cs="Times New Roman" w:eastAsia="Times New Roman" w:hAnsi="Times New Roman"/>
          <w:sz w:val="18"/>
          <w:szCs w:val="18"/>
          <w:color w:val="auto"/>
        </w:rPr>
      </w:pPr>
    </w:p>
    <w:p>
      <w:pPr>
        <w:ind w:left="439" w:right="20" w:hanging="439"/>
        <w:spacing w:after="0" w:line="261" w:lineRule="auto"/>
        <w:tabs>
          <w:tab w:leader="none" w:pos="43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 Right</w:t>
      </w:r>
      <w:r>
        <w:rPr>
          <w:rFonts w:ascii="Times New Roman" w:cs="Times New Roman" w:eastAsia="Times New Roman" w:hAnsi="Times New Roman"/>
          <w:sz w:val="18"/>
          <w:szCs w:val="18"/>
          <w:color w:val="auto"/>
        </w:rPr>
        <w:t>. At any time that any of the Preferred Shares remain outstanding, neither the Company nor any of its Subsidiaries shall, directly or indirectly, effect any Subsequent Placement (except for any Exempted Issuance) unless the Company shall have first complied with this Section 4(o). The Company acknowledges and agrees that the right set forth in this Section 4(o) is a right granted by the Company, separately, to the Buyer.</w:t>
      </w:r>
    </w:p>
    <w:p>
      <w:pPr>
        <w:spacing w:after="0" w:line="85" w:lineRule="exact"/>
        <w:rPr>
          <w:rFonts w:ascii="Times New Roman" w:cs="Times New Roman" w:eastAsia="Times New Roman" w:hAnsi="Times New Roman"/>
          <w:sz w:val="18"/>
          <w:szCs w:val="18"/>
          <w:color w:val="auto"/>
        </w:rPr>
      </w:pPr>
    </w:p>
    <w:p>
      <w:pPr>
        <w:ind w:left="979" w:right="180" w:hanging="533"/>
        <w:spacing w:after="0" w:line="254" w:lineRule="auto"/>
        <w:tabs>
          <w:tab w:leader="none" w:pos="979"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two (2) Business Days prior to any proposed or intended Subsequent Placement, the Company shall deliver to the Buyer a written notice (each such notice, a “</w:t>
      </w:r>
      <w:r>
        <w:rPr>
          <w:rFonts w:ascii="Times New Roman" w:cs="Times New Roman" w:eastAsia="Times New Roman" w:hAnsi="Times New Roman"/>
          <w:sz w:val="18"/>
          <w:szCs w:val="18"/>
          <w:b w:val="1"/>
          <w:bCs w:val="1"/>
          <w:color w:val="auto"/>
        </w:rPr>
        <w:t>Pre-Notice</w:t>
      </w:r>
      <w:r>
        <w:rPr>
          <w:rFonts w:ascii="Times New Roman" w:cs="Times New Roman" w:eastAsia="Times New Roman" w:hAnsi="Times New Roman"/>
          <w:sz w:val="18"/>
          <w:szCs w:val="18"/>
          <w:color w:val="auto"/>
        </w:rPr>
        <w:t>”), which Pre-Notice shall not contain any information (including, without limitation, material, non-public information) other than: (A) if the proposed Offer Notice (as defined below) constitutes or contains material, non-public information, a statement asking whether the Buyer is willing to accept material non-public information or (B) if the proposed Offer Notice does not constitute or contain material, non-public information,</w:t>
      </w:r>
    </w:p>
    <w:p>
      <w:pPr>
        <w:spacing w:after="0" w:line="3" w:lineRule="exact"/>
        <w:rPr>
          <w:rFonts w:ascii="Times New Roman" w:cs="Times New Roman" w:eastAsia="Times New Roman" w:hAnsi="Times New Roman"/>
          <w:sz w:val="18"/>
          <w:szCs w:val="18"/>
          <w:color w:val="auto"/>
        </w:rPr>
      </w:pPr>
    </w:p>
    <w:p>
      <w:pPr>
        <w:ind w:left="97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 statement that the Company proposes or intends to effect a Subsequent Placement, (y) a statement that the statement in clause (x) above does not constitute material, non-public information and (z) a statement informing the Buyer that it is entitled to receive an Offer Notice (as defined below) with respect to such Subsequent Placement upon its written request. Upon the written request of a Buyer within three (3) Business Days after the Company’s delivery to the Buyer of such Pre-Notice, and only upon a written request by the Buyer, the Company shall promptly, but no later than one (1) Business Day after such request, deliver to the Buyer an irrevocable written notice (the “</w:t>
      </w:r>
      <w:r>
        <w:rPr>
          <w:rFonts w:ascii="Times New Roman" w:cs="Times New Roman" w:eastAsia="Times New Roman" w:hAnsi="Times New Roman"/>
          <w:sz w:val="18"/>
          <w:szCs w:val="18"/>
          <w:b w:val="1"/>
          <w:bCs w:val="1"/>
          <w:color w:val="auto"/>
        </w:rPr>
        <w:t>Offer Notice</w:t>
      </w:r>
      <w:r>
        <w:rPr>
          <w:rFonts w:ascii="Times New Roman" w:cs="Times New Roman" w:eastAsia="Times New Roman" w:hAnsi="Times New Roman"/>
          <w:sz w:val="18"/>
          <w:szCs w:val="18"/>
          <w:color w:val="auto"/>
        </w:rPr>
        <w:t>”) of any proposed or intended issuance or sale or exchange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of the securities being offered (the “</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 in a Subsequent Placement, which Offer Notice shall (A) identify and describe the Offered Securities, (B) describe the price and other terms upon which they are to be issued, sold or exchanged, and the number or amount of the Offered Securities to be issued, sold or exchanged, (C) identify the Persons (if known) to which or with which the Offered Securities are to be offered, issued, sold or exchanged and (D) offer to issue and sell to or exchange with the Buyer in accordance with the terms of the Offer up to 35% of the Offered Securities (the “</w:t>
      </w:r>
      <w:r>
        <w:rPr>
          <w:rFonts w:ascii="Times New Roman" w:cs="Times New Roman" w:eastAsia="Times New Roman" w:hAnsi="Times New Roman"/>
          <w:sz w:val="18"/>
          <w:szCs w:val="18"/>
          <w:b w:val="1"/>
          <w:bCs w:val="1"/>
          <w:color w:val="auto"/>
        </w:rPr>
        <w:t>Basic Amount</w:t>
      </w:r>
      <w:r>
        <w:rPr>
          <w:rFonts w:ascii="Times New Roman" w:cs="Times New Roman" w:eastAsia="Times New Roman" w:hAnsi="Times New Roman"/>
          <w:sz w:val="18"/>
          <w:szCs w:val="18"/>
          <w:color w:val="auto"/>
        </w:rPr>
        <w:t>”).</w:t>
      </w:r>
    </w:p>
    <w:p>
      <w:pPr>
        <w:spacing w:after="0" w:line="97" w:lineRule="exact"/>
        <w:rPr>
          <w:rFonts w:ascii="Times New Roman" w:cs="Times New Roman" w:eastAsia="Times New Roman" w:hAnsi="Times New Roman"/>
          <w:sz w:val="18"/>
          <w:szCs w:val="18"/>
          <w:color w:val="auto"/>
        </w:rPr>
      </w:pPr>
    </w:p>
    <w:p>
      <w:pPr>
        <w:ind w:left="979" w:right="20" w:hanging="533"/>
        <w:spacing w:after="0" w:line="221" w:lineRule="auto"/>
        <w:tabs>
          <w:tab w:leader="none" w:pos="979"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accept an Offer, in whole or in part, the Buyer must deliver a written notice to the Company prior to the end of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Business Day after the Buyer’s receipt of the Offer Notice (the “</w:t>
      </w:r>
      <w:r>
        <w:rPr>
          <w:rFonts w:ascii="Times New Roman" w:cs="Times New Roman" w:eastAsia="Times New Roman" w:hAnsi="Times New Roman"/>
          <w:sz w:val="18"/>
          <w:szCs w:val="18"/>
          <w:b w:val="1"/>
          <w:bCs w:val="1"/>
          <w:color w:val="auto"/>
        </w:rPr>
        <w:t>Offer Period</w:t>
      </w:r>
      <w:r>
        <w:rPr>
          <w:rFonts w:ascii="Times New Roman" w:cs="Times New Roman" w:eastAsia="Times New Roman" w:hAnsi="Times New Roman"/>
          <w:sz w:val="18"/>
          <w:szCs w:val="18"/>
          <w:color w:val="auto"/>
        </w:rPr>
        <w:t>”), setting forth the portion of the Buyer’s Basic Amount that the Buyer elects to purchase (the “</w:t>
      </w:r>
      <w:r>
        <w:rPr>
          <w:rFonts w:ascii="Times New Roman" w:cs="Times New Roman" w:eastAsia="Times New Roman" w:hAnsi="Times New Roman"/>
          <w:sz w:val="18"/>
          <w:szCs w:val="18"/>
          <w:b w:val="1"/>
          <w:bCs w:val="1"/>
          <w:color w:val="auto"/>
        </w:rPr>
        <w:t>Notice of Acceptance</w:t>
      </w:r>
      <w:r>
        <w:rPr>
          <w:rFonts w:ascii="Times New Roman" w:cs="Times New Roman" w:eastAsia="Times New Roman" w:hAnsi="Times New Roman"/>
          <w:sz w:val="18"/>
          <w:szCs w:val="18"/>
          <w:color w:val="auto"/>
        </w:rPr>
        <w:t>”). Notwithstanding the foregoing, if the Company desires to modify or amend the terms and conditions of the Offer prior to the expiration of the Offer Period, the Company may deliver to the Buyer a new Offer Notice and the Offer Period shall expire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Business Day after the Buyer’s receipt of such new Offer Notice.</w:t>
      </w:r>
    </w:p>
    <w:p>
      <w:pPr>
        <w:spacing w:after="0" w:line="131"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019"/>
          </w:cols>
          <w:pgMar w:left="1421" w:top="270" w:right="459" w:bottom="1440" w:gutter="0" w:footer="0" w:header="0"/>
        </w:sectPr>
      </w:pPr>
    </w:p>
    <w:bookmarkStart w:id="170" w:name="page171"/>
    <w:bookmarkEnd w:id="170"/>
    <w:p>
      <w:pPr>
        <w:ind w:left="960" w:right="80" w:hanging="533"/>
        <w:spacing w:after="0" w:line="253" w:lineRule="auto"/>
        <w:tabs>
          <w:tab w:leader="none" w:pos="9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have five (5) Business Days from the expiration of the Offer Period above (A) to offer, issue, sell or exchange all or any part of such Offered Securities as to which a Notice of Acceptance has not been given by the Buyer (the “</w:t>
      </w:r>
      <w:r>
        <w:rPr>
          <w:rFonts w:ascii="Times New Roman" w:cs="Times New Roman" w:eastAsia="Times New Roman" w:hAnsi="Times New Roman"/>
          <w:sz w:val="18"/>
          <w:szCs w:val="18"/>
          <w:b w:val="1"/>
          <w:bCs w:val="1"/>
          <w:color w:val="auto"/>
        </w:rPr>
        <w:t>Refused Securities</w:t>
      </w:r>
      <w:r>
        <w:rPr>
          <w:rFonts w:ascii="Times New Roman" w:cs="Times New Roman" w:eastAsia="Times New Roman" w:hAnsi="Times New Roman"/>
          <w:sz w:val="18"/>
          <w:szCs w:val="18"/>
          <w:color w:val="auto"/>
        </w:rPr>
        <w:t>”) pursuant to a definitive agreement(s) (the “</w:t>
      </w:r>
      <w:r>
        <w:rPr>
          <w:rFonts w:ascii="Times New Roman" w:cs="Times New Roman" w:eastAsia="Times New Roman" w:hAnsi="Times New Roman"/>
          <w:sz w:val="18"/>
          <w:szCs w:val="18"/>
          <w:b w:val="1"/>
          <w:bCs w:val="1"/>
          <w:color w:val="auto"/>
        </w:rPr>
        <w:t>Subsequent Placement Agreement</w:t>
      </w:r>
      <w:r>
        <w:rPr>
          <w:rFonts w:ascii="Times New Roman" w:cs="Times New Roman" w:eastAsia="Times New Roman" w:hAnsi="Times New Roman"/>
          <w:sz w:val="18"/>
          <w:szCs w:val="18"/>
          <w:color w:val="auto"/>
        </w:rPr>
        <w:t>”), but only to the offerees described in the Offer Notice (if so described therein) and only upon terms and conditions (including, without limitation, unit prices and interest rates) that are not more favorable to the acquiring Person or Persons or less favorable to the Company than those set forth in the Offer Notice and (B) to publicly announce (x) the execution of such Subsequent Placement Agreement, and (y) either (I) the consummation of the transactions contemplated by such Subsequent Placement Agreement or (II) the termination of such Subsequent Placement Agreement, which shall be filed with the SEC on a Current Report on Form 8-K with such Subsequent Placement Agreement and any documents contemplated therein filed as exhibits thereto.</w:t>
      </w:r>
    </w:p>
    <w:p>
      <w:pPr>
        <w:spacing w:after="0" w:line="99" w:lineRule="exact"/>
        <w:rPr>
          <w:rFonts w:ascii="Times New Roman" w:cs="Times New Roman" w:eastAsia="Times New Roman" w:hAnsi="Times New Roman"/>
          <w:sz w:val="18"/>
          <w:szCs w:val="18"/>
          <w:color w:val="auto"/>
        </w:rPr>
      </w:pPr>
    </w:p>
    <w:p>
      <w:pPr>
        <w:ind w:left="960" w:hanging="533"/>
        <w:spacing w:after="0" w:line="253" w:lineRule="auto"/>
        <w:tabs>
          <w:tab w:leader="none" w:pos="9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shall propose to sell less than all the Refused Securities (any such sale to be in the manner and on the terms specified in Section 4(o)(iii) above), then the Buyer may, at its sole option and in its sole discretion, withdraw its Notice of Acceptance or reduce the number or amount of the Offered Securities specified in its Notice of Acceptance to an amount that shall be not less than the number or amount of the Offered Securities that the Buyer elected to purchase pursuant to Section 4(o)(ii) above multiplied by a fraction, (i) the numerator of which shall be the number or amount of Offered Securities the Company actually proposes to issue, sell or exchange (including Offered Securities to be issued or sold to Buyers pursuant to this Section 4(o) prior to such reduction) and (ii) the denominator of which shall be the original amount of the Offered Securities. In the event that the Buyer so elects to reduce the number or amount of Offered Securities specified in its Notice of Acceptance, the Company may not issue, sell or exchange more than the reduced number or amount of the Offered Securities unless and until such securities have again been offered to the Buyers in accordance with Section 4(o)(i) above.</w:t>
      </w:r>
    </w:p>
    <w:p>
      <w:pPr>
        <w:spacing w:after="0" w:line="97" w:lineRule="exact"/>
        <w:rPr>
          <w:rFonts w:ascii="Times New Roman" w:cs="Times New Roman" w:eastAsia="Times New Roman" w:hAnsi="Times New Roman"/>
          <w:sz w:val="18"/>
          <w:szCs w:val="18"/>
          <w:color w:val="auto"/>
        </w:rPr>
      </w:pPr>
    </w:p>
    <w:p>
      <w:pPr>
        <w:ind w:left="960" w:hanging="533"/>
        <w:spacing w:after="0" w:line="256" w:lineRule="auto"/>
        <w:tabs>
          <w:tab w:leader="none" w:pos="9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of the issuance, sale or exchange of all or less than all of the Refused Securities, the Buyer shall acquire from the Company, and the Company shall issue to the Buyer, the number or amount of Offered Securities specified in its Notice of Acceptance, as reduced pursuant to Section 4(o)(iv) above if the Buyer has so elected, upon the terms and conditions specified in the Offer. The purchase by the Buyer of any Offered Securities is subject in all cases to the preparation, execution and delivery by the Company and the Buyer of a separate purchase agreement relating to such Offered Securities reasonably satisfactory in form and substance to the Buyer and its counsel.</w:t>
      </w:r>
    </w:p>
    <w:p>
      <w:pPr>
        <w:spacing w:after="0" w:line="92" w:lineRule="exact"/>
        <w:rPr>
          <w:rFonts w:ascii="Times New Roman" w:cs="Times New Roman" w:eastAsia="Times New Roman" w:hAnsi="Times New Roman"/>
          <w:sz w:val="18"/>
          <w:szCs w:val="18"/>
          <w:color w:val="auto"/>
        </w:rPr>
      </w:pPr>
    </w:p>
    <w:p>
      <w:pPr>
        <w:ind w:left="960" w:right="20" w:hanging="533"/>
        <w:spacing w:after="0" w:line="282" w:lineRule="auto"/>
        <w:tabs>
          <w:tab w:leader="none" w:pos="9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Offered Securities not acquired by a Buyer or other Persons in accordance with this Section 4(o) may not be issued, sold or exchanged until they are again offered to the Buyer under the procedures specified in this Agreement.</w:t>
      </w:r>
    </w:p>
    <w:p>
      <w:pPr>
        <w:spacing w:after="0" w:line="67" w:lineRule="exact"/>
        <w:rPr>
          <w:rFonts w:ascii="Times New Roman" w:cs="Times New Roman" w:eastAsia="Times New Roman" w:hAnsi="Times New Roman"/>
          <w:sz w:val="18"/>
          <w:szCs w:val="18"/>
          <w:color w:val="auto"/>
        </w:rPr>
      </w:pPr>
    </w:p>
    <w:p>
      <w:pPr>
        <w:ind w:left="960" w:right="20" w:hanging="533"/>
        <w:spacing w:after="0" w:line="255" w:lineRule="auto"/>
        <w:tabs>
          <w:tab w:leader="none" w:pos="9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Buyer agree that if the Buyer elects to participate in the Offer, (x) neither the Subsequent Placement Agreement with respect to such Offer nor any other transaction documents related thereto (collectively, the “</w:t>
      </w:r>
      <w:r>
        <w:rPr>
          <w:rFonts w:ascii="Times New Roman" w:cs="Times New Roman" w:eastAsia="Times New Roman" w:hAnsi="Times New Roman"/>
          <w:sz w:val="18"/>
          <w:szCs w:val="18"/>
          <w:b w:val="1"/>
          <w:bCs w:val="1"/>
          <w:color w:val="auto"/>
        </w:rPr>
        <w:t>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Placement Documents</w:t>
      </w:r>
      <w:r>
        <w:rPr>
          <w:rFonts w:ascii="Times New Roman" w:cs="Times New Roman" w:eastAsia="Times New Roman" w:hAnsi="Times New Roman"/>
          <w:sz w:val="18"/>
          <w:szCs w:val="18"/>
          <w:color w:val="auto"/>
        </w:rPr>
        <w:t>”) shall include any term or provision whereby the Buyer shall be required to agree to any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trading as to any securities of the Company or be required to consent to any amendment to or termination of, or grant any waiver, release or the like under or in connection with, any agreement previously entered into with the Company or any instrument received from the Company, and (y) any registration rights set forth in such Subsequent Placement Documents shall be similar in all material respects to the registration rights contained in the Registration Rights Agreement.</w:t>
      </w:r>
    </w:p>
    <w:p>
      <w:pPr>
        <w:spacing w:after="0" w:line="1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000"/>
          </w:cols>
          <w:pgMar w:left="1440" w:top="270" w:right="459" w:bottom="1440" w:gutter="0" w:footer="0" w:header="0"/>
        </w:sectPr>
      </w:pPr>
    </w:p>
    <w:bookmarkStart w:id="171" w:name="page172"/>
    <w:bookmarkEnd w:id="171"/>
    <w:p>
      <w:pPr>
        <w:ind w:left="979" w:hanging="533"/>
        <w:spacing w:after="0" w:line="234" w:lineRule="auto"/>
        <w:tabs>
          <w:tab w:leader="none" w:pos="979"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in this Section 4(o) and unless otherwise agreed to by the Buyer, the Company shall either confirm in writing to the Buyer that the transaction with respect to the Subsequent Placement has been abandoned or shall publicly disclose its intention to issue the Offered Securities, in either case, in such a manner such that the Buyer will not be in possession of any material, non-public information, by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following delivery of the Offer Notice. If by such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no public disclosure regarding a transaction with respect to the Offered Securities has been made, and no notice regarding the abandonment of such transaction has been received by the Buyer, such transaction shall be deemed to have been abandoned and the Company shall not provide the Buyer with any material, non-public information with respect to the Company or any of its Subsidiaries. Should the Company decide to pursue such transaction with respect to the Offered Securities, the Company shall provide the Buyer with another Offer Notice and the Buyer will again have the right of participation set forth in this Section 4(o). The Company shall not be permitted to deliver more than one such Offer Notice to the Buyer in any sixty (60) day period, except as expressly contemplated by the last sentence of Section 4(o)(ii).</w:t>
      </w:r>
    </w:p>
    <w:p>
      <w:pPr>
        <w:spacing w:after="0" w:line="112" w:lineRule="exact"/>
        <w:rPr>
          <w:rFonts w:ascii="Times New Roman" w:cs="Times New Roman" w:eastAsia="Times New Roman" w:hAnsi="Times New Roman"/>
          <w:sz w:val="18"/>
          <w:szCs w:val="18"/>
          <w:color w:val="auto"/>
        </w:rPr>
      </w:pPr>
    </w:p>
    <w:p>
      <w:pPr>
        <w:ind w:left="979" w:right="100" w:hanging="533"/>
        <w:spacing w:after="0" w:line="261" w:lineRule="auto"/>
        <w:tabs>
          <w:tab w:leader="none" w:pos="979"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contained in this Section 4(o) shall not apply in connection with the issuance of any Excluded Securities (as such term is defined in the Certificate of Designations). The Company shall not circumvent the provisions of this</w:t>
      </w:r>
    </w:p>
    <w:p>
      <w:pPr>
        <w:ind w:left="97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4(o) by providing terms or conditions to one Buyer that are not provided to all.</w:t>
      </w:r>
    </w:p>
    <w:p>
      <w:pPr>
        <w:spacing w:after="0" w:line="112" w:lineRule="exact"/>
        <w:rPr>
          <w:rFonts w:ascii="Times New Roman" w:cs="Times New Roman" w:eastAsia="Times New Roman" w:hAnsi="Times New Roman"/>
          <w:sz w:val="18"/>
          <w:szCs w:val="18"/>
          <w:color w:val="auto"/>
        </w:rPr>
      </w:pPr>
    </w:p>
    <w:p>
      <w:pPr>
        <w:ind w:left="439" w:hanging="439"/>
        <w:spacing w:after="0" w:line="256" w:lineRule="auto"/>
        <w:tabs>
          <w:tab w:leader="none" w:pos="43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Dilutive Issuances</w:t>
      </w:r>
      <w:r>
        <w:rPr>
          <w:rFonts w:ascii="Times New Roman" w:cs="Times New Roman" w:eastAsia="Times New Roman" w:hAnsi="Times New Roman"/>
          <w:sz w:val="18"/>
          <w:szCs w:val="18"/>
          <w:color w:val="auto"/>
        </w:rPr>
        <w:t>. For so long as any Preferred Shares remain outstanding, the Company shall not, in any manner, enter into or affect any issuance or sale of securities of the Company which are issued or sold or deemed to have been granted, issued or sold for a consideration per share of Common Stock (the “</w:t>
      </w:r>
      <w:r>
        <w:rPr>
          <w:rFonts w:ascii="Times New Roman" w:cs="Times New Roman" w:eastAsia="Times New Roman" w:hAnsi="Times New Roman"/>
          <w:sz w:val="18"/>
          <w:szCs w:val="18"/>
          <w:b w:val="1"/>
          <w:bCs w:val="1"/>
          <w:color w:val="auto"/>
        </w:rPr>
        <w:t>New Issuance Price</w:t>
      </w:r>
      <w:r>
        <w:rPr>
          <w:rFonts w:ascii="Times New Roman" w:cs="Times New Roman" w:eastAsia="Times New Roman" w:hAnsi="Times New Roman"/>
          <w:sz w:val="18"/>
          <w:szCs w:val="18"/>
          <w:color w:val="auto"/>
        </w:rPr>
        <w:t>”, and such issuance, a “</w:t>
      </w:r>
      <w:r>
        <w:rPr>
          <w:rFonts w:ascii="Times New Roman" w:cs="Times New Roman" w:eastAsia="Times New Roman" w:hAnsi="Times New Roman"/>
          <w:sz w:val="18"/>
          <w:szCs w:val="18"/>
          <w:b w:val="1"/>
          <w:bCs w:val="1"/>
          <w:color w:val="auto"/>
        </w:rPr>
        <w:t>Dilutive Issuance</w:t>
      </w:r>
      <w:r>
        <w:rPr>
          <w:rFonts w:ascii="Times New Roman" w:cs="Times New Roman" w:eastAsia="Times New Roman" w:hAnsi="Times New Roman"/>
          <w:sz w:val="18"/>
          <w:szCs w:val="18"/>
          <w:color w:val="auto"/>
        </w:rPr>
        <w:t>”) if the effect of such Dilutive Issuance is to cause the Company to be required to issue upon conversion of any Preferred Shares any shares of Common Stock in excess of that number of shares of Common Stock which the Company may issue upon conversion of the Preferred Shares without breaching the Company’s obligations under the rules or regulations of the Principal Market.</w:t>
      </w:r>
    </w:p>
    <w:p>
      <w:pPr>
        <w:spacing w:after="0" w:line="92" w:lineRule="exact"/>
        <w:rPr>
          <w:rFonts w:ascii="Times New Roman" w:cs="Times New Roman" w:eastAsia="Times New Roman" w:hAnsi="Times New Roman"/>
          <w:sz w:val="18"/>
          <w:szCs w:val="18"/>
          <w:color w:val="auto"/>
        </w:rPr>
      </w:pPr>
    </w:p>
    <w:p>
      <w:pPr>
        <w:jc w:val="both"/>
        <w:ind w:left="439" w:right="100" w:hanging="439"/>
        <w:spacing w:after="0" w:line="266" w:lineRule="auto"/>
        <w:tabs>
          <w:tab w:leader="none" w:pos="43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The business of the Company and its Subsidiaries shall not be conducted in violation of any law, ordinance or regulation of any Governmental Entity, except where such violations would not reasonably be expected to result, either individually or in the aggregate, in a Material Adverse Effect.</w:t>
      </w:r>
    </w:p>
    <w:p>
      <w:pPr>
        <w:spacing w:after="0" w:line="81" w:lineRule="exact"/>
        <w:rPr>
          <w:rFonts w:ascii="Times New Roman" w:cs="Times New Roman" w:eastAsia="Times New Roman" w:hAnsi="Times New Roman"/>
          <w:sz w:val="18"/>
          <w:szCs w:val="18"/>
          <w:color w:val="auto"/>
        </w:rPr>
      </w:pPr>
    </w:p>
    <w:p>
      <w:pPr>
        <w:ind w:left="439" w:hanging="439"/>
        <w:spacing w:after="0"/>
        <w:tabs>
          <w:tab w:leader="none" w:pos="43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Preferred Shares; Variable Securities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19" w:hanging="433"/>
        <w:spacing w:after="0" w:line="258" w:lineRule="auto"/>
        <w:tabs>
          <w:tab w:leader="none" w:pos="1419"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Preferred Shares remain outstanding, the Company hereby irrevocably grants to the Buyer a right of first refusal with respect to the Company entering into any “equity line” transactions, such that prior to entering into an such transaction with a third-party, the Company must first notify the Buyer in writing of the bona fide other offer from the third-party, and provide to the Buyer the opportunity to enter into an agreement with the Company on materially similar</w:t>
      </w:r>
    </w:p>
    <w:p>
      <w:pPr>
        <w:spacing w:after="0" w:line="116"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019"/>
          </w:cols>
          <w:pgMar w:left="1421" w:top="270" w:right="459" w:bottom="1440" w:gutter="0" w:footer="0" w:header="0"/>
        </w:sectPr>
      </w:pPr>
    </w:p>
    <w:bookmarkStart w:id="172" w:name="page173"/>
    <w:bookmarkEnd w:id="172"/>
    <w:p>
      <w:pPr>
        <w:ind w:left="1439"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terms. Upon receipt of such notice, the Buyer shall have ten (10) business days to confirm in writing whether it will either consent to the Company entering into the transaction with the third-party, or if the Buyer will proceed with a similar transaction (in which case the parties shall work in good faith to complete the transaction within a 3 month period).</w:t>
      </w:r>
    </w:p>
    <w:p>
      <w:pPr>
        <w:spacing w:after="0" w:line="85" w:lineRule="exact"/>
        <w:rPr>
          <w:sz w:val="20"/>
          <w:szCs w:val="20"/>
          <w:color w:val="auto"/>
        </w:rPr>
      </w:pPr>
    </w:p>
    <w:p>
      <w:pPr>
        <w:ind w:left="439" w:right="380" w:hanging="439"/>
        <w:spacing w:after="0" w:line="266" w:lineRule="auto"/>
        <w:tabs>
          <w:tab w:leader="none" w:pos="43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Passive Foreign Investment Company</w:t>
      </w:r>
      <w:r>
        <w:rPr>
          <w:rFonts w:ascii="Times New Roman" w:cs="Times New Roman" w:eastAsia="Times New Roman" w:hAnsi="Times New Roman"/>
          <w:sz w:val="18"/>
          <w:szCs w:val="18"/>
          <w:color w:val="auto"/>
        </w:rPr>
        <w:t>. The Company shall conduct its business, and shall cause its Subsidiaries to conduct their respective businesses, in such a manner as will ensure that the Company will not be deemed to constitute a passive foreign investment company within the meaning of Section 1297 of the Code.</w:t>
      </w:r>
    </w:p>
    <w:p>
      <w:pPr>
        <w:spacing w:after="0" w:line="81" w:lineRule="exact"/>
        <w:rPr>
          <w:rFonts w:ascii="Times New Roman" w:cs="Times New Roman" w:eastAsia="Times New Roman" w:hAnsi="Times New Roman"/>
          <w:sz w:val="18"/>
          <w:szCs w:val="18"/>
          <w:color w:val="auto"/>
        </w:rPr>
      </w:pPr>
    </w:p>
    <w:p>
      <w:pPr>
        <w:ind w:left="439" w:right="280" w:hanging="439"/>
        <w:spacing w:after="0" w:line="266" w:lineRule="auto"/>
        <w:tabs>
          <w:tab w:leader="none" w:pos="43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Existence</w:t>
      </w:r>
      <w:r>
        <w:rPr>
          <w:rFonts w:ascii="Times New Roman" w:cs="Times New Roman" w:eastAsia="Times New Roman" w:hAnsi="Times New Roman"/>
          <w:sz w:val="18"/>
          <w:szCs w:val="18"/>
          <w:color w:val="auto"/>
        </w:rPr>
        <w:t>. So long as the Buyer beneficially owns any Preferred Shares, the Company shall not be party to any Fundamental Transaction (as defined in the Certificate of Designations) unless the Company is in compliance with the applicable provisions governing Fundamental Transactions set forth in the Certificate of Designations.</w:t>
      </w:r>
    </w:p>
    <w:p>
      <w:pPr>
        <w:spacing w:after="0" w:line="81" w:lineRule="exact"/>
        <w:rPr>
          <w:rFonts w:ascii="Times New Roman" w:cs="Times New Roman" w:eastAsia="Times New Roman" w:hAnsi="Times New Roman"/>
          <w:sz w:val="18"/>
          <w:szCs w:val="18"/>
          <w:color w:val="auto"/>
        </w:rPr>
      </w:pPr>
    </w:p>
    <w:p>
      <w:pPr>
        <w:ind w:left="439" w:hanging="439"/>
        <w:spacing w:after="0" w:line="255" w:lineRule="auto"/>
        <w:tabs>
          <w:tab w:leader="none" w:pos="43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Splits</w:t>
      </w:r>
      <w:r>
        <w:rPr>
          <w:rFonts w:ascii="Times New Roman" w:cs="Times New Roman" w:eastAsia="Times New Roman" w:hAnsi="Times New Roman"/>
          <w:sz w:val="18"/>
          <w:szCs w:val="18"/>
          <w:color w:val="auto"/>
        </w:rPr>
        <w:t>. Until the Preferred Shares are no longer outstanding, the Company shall not effect any stock combination, reverse stock split or other similar transaction (or make any public announcement or disclosure with respect to any of the foregoing) without the prior written consent of the Buyer. Provided, however, if the sole purpose of the reverse stock split is, in the good faith determination of the Company’s board of directors, to maintain its listing on the Trading Market, the Company shall not be required to obtain consent of the Buyer, provided that the Company shall first provide fifteen (15) days prior written notice of the intended reverse stock split to the Buyer and shall provide such other information reasonably satisfactory to the Buyer that the corporate action is not intended some other purpose.</w:t>
      </w:r>
    </w:p>
    <w:p>
      <w:pPr>
        <w:spacing w:after="0" w:line="94" w:lineRule="exact"/>
        <w:rPr>
          <w:rFonts w:ascii="Times New Roman" w:cs="Times New Roman" w:eastAsia="Times New Roman" w:hAnsi="Times New Roman"/>
          <w:sz w:val="18"/>
          <w:szCs w:val="18"/>
          <w:color w:val="auto"/>
        </w:rPr>
      </w:pPr>
    </w:p>
    <w:p>
      <w:pPr>
        <w:ind w:left="439" w:right="580" w:hanging="439"/>
        <w:spacing w:after="0" w:line="282" w:lineRule="auto"/>
        <w:tabs>
          <w:tab w:leader="none" w:pos="43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w:t>
      </w:r>
      <w:r>
        <w:rPr>
          <w:rFonts w:ascii="Times New Roman" w:cs="Times New Roman" w:eastAsia="Times New Roman" w:hAnsi="Times New Roman"/>
          <w:sz w:val="18"/>
          <w:szCs w:val="18"/>
          <w:color w:val="auto"/>
        </w:rPr>
        <w:t>. The Company will not take any action prohibited by Regulation M under the 1934 Act, in connection with the distribution of the Securities contemplated hereby.</w:t>
      </w:r>
    </w:p>
    <w:p>
      <w:pPr>
        <w:spacing w:after="0" w:line="67" w:lineRule="exact"/>
        <w:rPr>
          <w:rFonts w:ascii="Times New Roman" w:cs="Times New Roman" w:eastAsia="Times New Roman" w:hAnsi="Times New Roman"/>
          <w:sz w:val="18"/>
          <w:szCs w:val="18"/>
          <w:color w:val="auto"/>
        </w:rPr>
      </w:pPr>
    </w:p>
    <w:p>
      <w:pPr>
        <w:ind w:left="439" w:right="40" w:hanging="439"/>
        <w:spacing w:after="0" w:line="258" w:lineRule="auto"/>
        <w:tabs>
          <w:tab w:leader="none" w:pos="43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None of the Company, any of its affiliates (as defined in Rule 501(b) under the 1933 Act) or any person acting on behalf of the Company or such affiliate will solicit any offer to buy or offer or sell the Securities by means of any form of general solicitation or general advertising within the meaning of Regulation D, including: (i) any advertisement, article, notice or other communication published in any newspaper, magazine or similar medium or broadcast over television or radio; and (ii) any seminar or meeting whose attendees have been invited by any general solicitation or general advertising.</w:t>
      </w:r>
    </w:p>
    <w:p>
      <w:pPr>
        <w:spacing w:after="0" w:line="88" w:lineRule="exact"/>
        <w:rPr>
          <w:rFonts w:ascii="Times New Roman" w:cs="Times New Roman" w:eastAsia="Times New Roman" w:hAnsi="Times New Roman"/>
          <w:sz w:val="18"/>
          <w:szCs w:val="18"/>
          <w:color w:val="auto"/>
        </w:rPr>
      </w:pPr>
    </w:p>
    <w:p>
      <w:pPr>
        <w:ind w:left="439" w:hanging="439"/>
        <w:spacing w:after="0" w:line="255" w:lineRule="auto"/>
        <w:tabs>
          <w:tab w:leader="none" w:pos="43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None of the Company, any of its affiliates (as defined in Rule 501(b) under the 1933 Act), or any person acting on behalf of the Company or such affiliate will sell, offer for sale, or solicit offers to buy or otherwise negotiate in respect of any security (as defined in the 1933 Act) which will be integrated with the sale of the Securities in a manner which would require the registration of the Securities under the 1933 Act or require stockholder approval under the rules and regulations of the applicable Trading Market and the Company will take all action that is appropriate or necessary to assure that its offerings of other securities will not be integrated for purposes of the 1933 Act or the rules and regulations of the applicable Trading Market, with the issuance of Securities contemplated hereby.</w:t>
      </w:r>
    </w:p>
    <w:p>
      <w:pPr>
        <w:spacing w:after="0" w:line="94" w:lineRule="exact"/>
        <w:rPr>
          <w:rFonts w:ascii="Times New Roman" w:cs="Times New Roman" w:eastAsia="Times New Roman" w:hAnsi="Times New Roman"/>
          <w:sz w:val="18"/>
          <w:szCs w:val="18"/>
          <w:color w:val="auto"/>
        </w:rPr>
      </w:pPr>
    </w:p>
    <w:p>
      <w:pPr>
        <w:ind w:left="439" w:right="480" w:hanging="439"/>
        <w:spacing w:after="0" w:line="266" w:lineRule="auto"/>
        <w:tabs>
          <w:tab w:leader="none" w:pos="43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Buyer in writing, prior to the Closing Date of (i) any Disqualification Event relating to any Issuer Covered Person and (ii) any event that would, with the passage of time, become a Disqualification Event relating to any Issuer Covered Person.</w:t>
      </w:r>
    </w:p>
    <w:p>
      <w:pPr>
        <w:spacing w:after="0" w:line="108"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019"/>
          </w:cols>
          <w:pgMar w:left="1421" w:top="270" w:right="459" w:bottom="1440" w:gutter="0" w:footer="0" w:header="0"/>
        </w:sectPr>
      </w:pPr>
    </w:p>
    <w:bookmarkStart w:id="173" w:name="page174"/>
    <w:bookmarkEnd w:id="173"/>
    <w:p>
      <w:pPr>
        <w:ind w:left="439" w:right="60" w:hanging="439"/>
        <w:spacing w:after="0" w:line="266" w:lineRule="auto"/>
        <w:tabs>
          <w:tab w:leader="none" w:pos="43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Closing Documents</w:t>
      </w:r>
      <w:r>
        <w:rPr>
          <w:rFonts w:ascii="Times New Roman" w:cs="Times New Roman" w:eastAsia="Times New Roman" w:hAnsi="Times New Roman"/>
          <w:sz w:val="18"/>
          <w:szCs w:val="18"/>
          <w:color w:val="auto"/>
        </w:rPr>
        <w:t>. On or prior to fourteen (14) calendar days after the Closing Date, the Company agrees to deliver, or cause to be delivered, to the Buyer and its counsel, a complete closing set of the executed Transaction Documents, Securities and any other document required to be delivered to any party pursuant to Section 7 hereof or otherwise.</w:t>
      </w:r>
    </w:p>
    <w:p>
      <w:pPr>
        <w:spacing w:after="0" w:line="81" w:lineRule="exact"/>
        <w:rPr>
          <w:rFonts w:ascii="Times New Roman" w:cs="Times New Roman" w:eastAsia="Times New Roman" w:hAnsi="Times New Roman"/>
          <w:sz w:val="18"/>
          <w:szCs w:val="18"/>
          <w:color w:val="auto"/>
        </w:rPr>
      </w:pPr>
    </w:p>
    <w:p>
      <w:pPr>
        <w:ind w:left="439" w:hanging="439"/>
        <w:spacing w:after="0" w:line="267" w:lineRule="auto"/>
        <w:tabs>
          <w:tab w:leader="none" w:pos="439"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Rules of Trading Market</w:t>
      </w:r>
      <w:r>
        <w:rPr>
          <w:rFonts w:ascii="Times New Roman" w:cs="Times New Roman" w:eastAsia="Times New Roman" w:hAnsi="Times New Roman"/>
          <w:sz w:val="17"/>
          <w:szCs w:val="17"/>
          <w:color w:val="auto"/>
        </w:rPr>
        <w:t>. Until Stockholder Approval (as defined below) is obtained, the Company shall not issue any shares of Common Stock upon redemption and/or exchange of the Preferred Shares, to the extent that after giving effect thereto, the aggregate number of shares of Common Stock that would be issued pursuant to this Agreement, the Transaction Documents, and the transactions contemplated hereby and thereby would exceed 19.99% of the number of shares of Common Stock issued and outstanding immediately prior to the execution of this Agreement), which number of shares shall be reduced, on a share-for-share basis, by the number of shares of Common Stock issued or issuable pursuant to any transaction or series of transactions that may be aggregated with the transactions contemplated by this Agreement under applicable rules of the applicable Trading Market (such maximum number of shares, the “</w:t>
      </w:r>
      <w:r>
        <w:rPr>
          <w:rFonts w:ascii="Times New Roman" w:cs="Times New Roman" w:eastAsia="Times New Roman" w:hAnsi="Times New Roman"/>
          <w:sz w:val="17"/>
          <w:szCs w:val="17"/>
          <w:b w:val="1"/>
          <w:bCs w:val="1"/>
          <w:color w:val="auto"/>
        </w:rPr>
        <w:t>Exchange Cap</w:t>
      </w:r>
      <w:r>
        <w:rPr>
          <w:rFonts w:ascii="Times New Roman" w:cs="Times New Roman" w:eastAsia="Times New Roman" w:hAnsi="Times New Roman"/>
          <w:sz w:val="17"/>
          <w:szCs w:val="17"/>
          <w:color w:val="auto"/>
        </w:rPr>
        <w:t>”. In the event that the Buyer submits (or expresses the intent to submit) a Notice of the Forced Redemption that cannot be processed by the Company because of the limitations of the Exchange Cap, no later than the next annual or special stockholder meeting held by the Company thereafter (the “</w:t>
      </w:r>
      <w:r>
        <w:rPr>
          <w:rFonts w:ascii="Times New Roman" w:cs="Times New Roman" w:eastAsia="Times New Roman" w:hAnsi="Times New Roman"/>
          <w:sz w:val="17"/>
          <w:szCs w:val="17"/>
          <w:b w:val="1"/>
          <w:bCs w:val="1"/>
          <w:color w:val="auto"/>
        </w:rPr>
        <w:t>Stockholder Meeting Deadline</w:t>
      </w:r>
      <w:r>
        <w:rPr>
          <w:rFonts w:ascii="Times New Roman" w:cs="Times New Roman" w:eastAsia="Times New Roman" w:hAnsi="Times New Roman"/>
          <w:sz w:val="17"/>
          <w:szCs w:val="17"/>
          <w:color w:val="auto"/>
        </w:rPr>
        <w:t>”), the Company shall hold vote at such meeting of its stockholders to seek approval of a waiver of the Exchange Cap and, if needed, an increase in the authorized number of shares of Common Stock (approval of all such proposals, the “</w:t>
      </w:r>
      <w:r>
        <w:rPr>
          <w:rFonts w:ascii="Times New Roman" w:cs="Times New Roman" w:eastAsia="Times New Roman" w:hAnsi="Times New Roman"/>
          <w:sz w:val="17"/>
          <w:szCs w:val="17"/>
          <w:b w:val="1"/>
          <w:bCs w:val="1"/>
          <w:color w:val="auto"/>
        </w:rPr>
        <w:t>Stockholder Approval</w:t>
      </w:r>
      <w:r>
        <w:rPr>
          <w:rFonts w:ascii="Times New Roman" w:cs="Times New Roman" w:eastAsia="Times New Roman" w:hAnsi="Times New Roman"/>
          <w:sz w:val="17"/>
          <w:szCs w:val="17"/>
          <w:color w:val="auto"/>
        </w:rPr>
        <w:t>”). In connection with such meeting, the Company shall provide each stockholder of the Company with a proxy statement in compliance with applicable SEC rules and regulations and shall use its commercially reasonable efforts to solicit the Stockholder Approval and to cause its board of directors to recommend to the Company’s stockholders that they approve such proposal(s). The Company shall be obligated to seek to obtain the Stockholder Approval by the Stockholder Meeting Deadline. If, despite the Company’s commercially reasonable efforts the Stockholder Approval is not obtained on or prior to the Stockholder Meeting Deadline, the Company shall cause an additional stockholder meeting to be held within four (4) months of the Stockholder Meeting Deadline. For the avoidance of doubt, if the Company fails to obtain Stockholder Approval, the Exchange Cap shall be applicable for all purposes. The Company shall not issue or sell any shares of Common Stock pursuant to this Agreement or any of the Transaction Documents if such issuance or sale would reasonably be expected to result in: (i) a violation of the Securities Act; or (ii) a breach of the rules of the applicable Trading Market. The provisions of this Section 4(w) shall be implemented in a manner otherwise than in strict conformity with the terms of this Section 4(w) only if necessary to ensure compliance with the Securities Act and the applicable rules of the applicable Trading Market. The limitations contained in this Section 4(w) may not be waived by the Company or the Buyer.</w:t>
      </w:r>
    </w:p>
    <w:p>
      <w:pPr>
        <w:spacing w:after="0" w:line="303" w:lineRule="exact"/>
        <w:rPr>
          <w:rFonts w:ascii="Times New Roman" w:cs="Times New Roman" w:eastAsia="Times New Roman" w:hAnsi="Times New Roman"/>
          <w:sz w:val="17"/>
          <w:szCs w:val="17"/>
          <w:color w:val="auto"/>
        </w:rPr>
      </w:pPr>
    </w:p>
    <w:p>
      <w:pPr>
        <w:ind w:left="439" w:right="40" w:hanging="439"/>
        <w:spacing w:after="0" w:line="258" w:lineRule="auto"/>
        <w:tabs>
          <w:tab w:leader="none" w:pos="43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Limitations</w:t>
      </w:r>
      <w:r>
        <w:rPr>
          <w:rFonts w:ascii="Times New Roman" w:cs="Times New Roman" w:eastAsia="Times New Roman" w:hAnsi="Times New Roman"/>
          <w:sz w:val="18"/>
          <w:szCs w:val="18"/>
          <w:color w:val="auto"/>
        </w:rPr>
        <w:t>. Notwithstanding anything contained in this Agreement or any Transaction Document to the contrary, the parties covenant and agree that the Buyer shall not redeem or exchange any Preferred Shares into shares of Common Stock in excess of the Exchange Cap, unless and until the Company obtains Stockholder Approval in accordance with the rules of the applicable Trading Market. The Buyer further covenants and agrees not to vote any Common Stock at the meeting of the stockholders held for the purpose of obtaining such Stockholder Approval.</w:t>
      </w:r>
    </w:p>
    <w:p>
      <w:pPr>
        <w:spacing w:after="0" w:line="116"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019"/>
          </w:cols>
          <w:pgMar w:left="1421" w:top="270" w:right="459" w:bottom="1440" w:gutter="0" w:footer="0" w:header="0"/>
        </w:sectPr>
      </w:pPr>
    </w:p>
    <w:bookmarkStart w:id="174" w:name="page175"/>
    <w:bookmarkEnd w:id="174"/>
    <w:p>
      <w:pPr>
        <w:ind w:left="1000" w:right="80" w:hanging="439"/>
        <w:spacing w:after="0" w:line="253" w:lineRule="auto"/>
        <w:tabs>
          <w:tab w:leader="none" w:pos="10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MFN</w:t>
      </w:r>
      <w:r>
        <w:rPr>
          <w:rFonts w:ascii="Times New Roman" w:cs="Times New Roman" w:eastAsia="Times New Roman" w:hAnsi="Times New Roman"/>
          <w:sz w:val="18"/>
          <w:szCs w:val="18"/>
          <w:color w:val="auto"/>
        </w:rPr>
        <w:t>. So long as any Preferred Shares remain outstanding, upon any issuance by the Company or any of its subsidiaries, except for an Exempt Issuance, of any security with any term more favorable to the holder of such security or with a term (including without limitation any conversion price) in favor of the holder of such security that was not similarly set forth in the Transaction Documents or the Certificate of Designations or provided to the holders of Preferred Shares (other than a future financing with C/M Capital Partners, LP), then the Company shall notify the Buyer of such additional or more favorable term and such term, at Buyer’s option, shall become, and the Company shall take all action necessary such that the term becomes, a part of the Transaction Documents (including without limitation, the Certificate of Designations) with the Buyer, or Buyer may exchange Preferred Shares in their entirety for such security. The types of terms contained in another security that may be more favorable to the holder of such security include, but are not limited to, terms addressing conversion discounts, prepayment rate, conversion lookback periods, interest rates, original issue discounts, stock sale price, private placement price per share, and warrant coverage.</w:t>
      </w:r>
    </w:p>
    <w:p>
      <w:pPr>
        <w:spacing w:after="0" w:line="9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TRANSFER AGENT INSTRUCTIONS; LEGEND.</w:t>
      </w:r>
    </w:p>
    <w:p>
      <w:pPr>
        <w:spacing w:after="0" w:line="134" w:lineRule="exact"/>
        <w:rPr>
          <w:rFonts w:ascii="Times New Roman" w:cs="Times New Roman" w:eastAsia="Times New Roman" w:hAnsi="Times New Roman"/>
          <w:sz w:val="18"/>
          <w:szCs w:val="18"/>
          <w:b w:val="1"/>
          <w:bCs w:val="1"/>
          <w:color w:val="auto"/>
        </w:rPr>
      </w:pPr>
    </w:p>
    <w:p>
      <w:pPr>
        <w:ind w:left="1000" w:right="40" w:hanging="439"/>
        <w:spacing w:after="0" w:line="256" w:lineRule="auto"/>
        <w:tabs>
          <w:tab w:leader="none" w:pos="10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Company shall maintain at its principal executive offices (or such other office or agency of the Company as it may designate by notice to each holder of Securities), a register for the Preferred Shares in which the Company shall record the name and address of the Person in whose name the Preferred Shares have been issued (including the name and address of each transferee), the aggregate number of Preferred Shares held by such Person, the number of Redemption Shares issuable pursuant to the terms of the Preferred Shares. The Company shall keep the register open and available at all times during business hours for inspection of the Buyer or its legal representatives.</w:t>
      </w:r>
    </w:p>
    <w:p>
      <w:pPr>
        <w:spacing w:after="0" w:line="92" w:lineRule="exact"/>
        <w:rPr>
          <w:rFonts w:ascii="Times New Roman" w:cs="Times New Roman" w:eastAsia="Times New Roman" w:hAnsi="Times New Roman"/>
          <w:sz w:val="18"/>
          <w:szCs w:val="18"/>
          <w:color w:val="auto"/>
        </w:rPr>
      </w:pPr>
    </w:p>
    <w:p>
      <w:pPr>
        <w:ind w:left="1000" w:hanging="439"/>
        <w:spacing w:after="0" w:line="252" w:lineRule="auto"/>
        <w:tabs>
          <w:tab w:leader="none" w:pos="10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 Instructions</w:t>
      </w:r>
      <w:r>
        <w:rPr>
          <w:rFonts w:ascii="Times New Roman" w:cs="Times New Roman" w:eastAsia="Times New Roman" w:hAnsi="Times New Roman"/>
          <w:sz w:val="18"/>
          <w:szCs w:val="18"/>
          <w:color w:val="auto"/>
        </w:rPr>
        <w:t>. The Company shall issue irrevocable instructions to its transfer agent and any subsequent transfer agent (as applicable,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in a form acceptable to the Buyer (the “</w:t>
      </w:r>
      <w:r>
        <w:rPr>
          <w:rFonts w:ascii="Times New Roman" w:cs="Times New Roman" w:eastAsia="Times New Roman" w:hAnsi="Times New Roman"/>
          <w:sz w:val="18"/>
          <w:szCs w:val="18"/>
          <w:b w:val="1"/>
          <w:bCs w:val="1"/>
          <w:color w:val="auto"/>
        </w:rPr>
        <w:t>Irrevocable Transfer Agent Instructions</w:t>
      </w:r>
      <w:r>
        <w:rPr>
          <w:rFonts w:ascii="Times New Roman" w:cs="Times New Roman" w:eastAsia="Times New Roman" w:hAnsi="Times New Roman"/>
          <w:sz w:val="18"/>
          <w:szCs w:val="18"/>
          <w:color w:val="auto"/>
        </w:rPr>
        <w:t>”) to issue certificates or credit shares to the applicable balance accounts at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registered in the name of the Buyer or its respective nominee(s), for the Redemption Shares in such amounts as specified from time to time by the Buyer to the Company upon redemption of the Preferred Shares. The Company represents and warrants that no instruction other than the Irrevocable Transfer Agent Instructions referred to in this Section 5(b), and stop transfer instructions to give effect to Section 2(g) hereof, will be given by the Company to its transfer agent with respect to the Securities, and that the Securities shall otherwise be freely transferable on the books and records of the Company, as applicable, to the extent provided in this Agreement and the other Transaction Documents. If the Buyer effects a sale, assignment or transfer of the Securities in accordance with Section 2(g), the Company shall permit the transfer and shall promptly instruct its transfer agent to issue one or more certificates or credit shares to the applicable balance accounts at DTC in such name and in such denominations as specified by the Buyer to effect such sale, transfer or assignment. In the event that such sale, assignment or transfer involves Redemption Shares sold, assigned or transferred pursuant to an effective registration statement or in compliance with Rule 144, the transfer agent shall issue such shares to the Buyer, assignee or transferee (as the case may be) without any restrictive legend in accordance with Section 5(d) below. The Company acknowledges that a breach by it of its obligations hereunder will cause irreparable harm to the Buyer. Accordingly, the Company acknowledges that the remedy at law for a breach of its obligations under this Section 5(b) will be inadequate and agrees, in the event of a breach or threatened breach by the Company of the provisions of this Section 5(b), that the Buyer shall be entitled, in addition to all other available remedies, to an order and/or injunction restraining any breach and requiring immediate</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80"/>
          </w:cols>
          <w:pgMar w:left="860" w:top="270" w:right="459" w:bottom="1440" w:gutter="0" w:footer="0" w:header="0"/>
        </w:sectPr>
      </w:pPr>
    </w:p>
    <w:bookmarkStart w:id="175" w:name="page176"/>
    <w:bookmarkEnd w:id="175"/>
    <w:p>
      <w:pPr>
        <w:ind w:left="439"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issuance and transfer, without the necessity of showing economic loss and without any bond or other security being required. The Company shall cause its counsel to issue the legal opinion referred to in the Irrevocable Transfer Agent Instructions to the Company’s transfer agent no later than two Business Days following the effective date of each registration statement required under the Registration Rights Agreement. Any fees (with respect to the transfer agent, counsel to the Company or otherwise) associated with the issuance of such opinion or the removal of any legends on any of the Securities shall be borne by the Company.</w:t>
      </w:r>
    </w:p>
    <w:p>
      <w:pPr>
        <w:spacing w:after="0" w:line="89" w:lineRule="exact"/>
        <w:rPr>
          <w:sz w:val="20"/>
          <w:szCs w:val="20"/>
          <w:color w:val="auto"/>
        </w:rPr>
      </w:pPr>
    </w:p>
    <w:p>
      <w:pPr>
        <w:ind w:left="439" w:right="40" w:hanging="439"/>
        <w:spacing w:after="0" w:line="261" w:lineRule="auto"/>
        <w:tabs>
          <w:tab w:leader="none" w:pos="43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Buyer understands that the Securities have been issued (or will be issued in the case of the Redemption Shares) pursuant to an exemption from registration or qualification under the 1933 Act and applicable state securities laws, and except as set forth below, the Securities shall bear any legend as required by the “blue sky” laws of any state and a restrictive legend in substantially the following form (and a stop-transfer order may be placed against transfer of such stock certificates):</w:t>
      </w:r>
    </w:p>
    <w:p>
      <w:pPr>
        <w:spacing w:after="0" w:line="72" w:lineRule="exact"/>
        <w:rPr>
          <w:sz w:val="20"/>
          <w:szCs w:val="20"/>
          <w:color w:val="auto"/>
        </w:rPr>
      </w:pPr>
    </w:p>
    <w:p>
      <w:pPr>
        <w:ind w:left="999"/>
        <w:spacing w:after="0" w:line="269" w:lineRule="auto"/>
        <w:rPr>
          <w:sz w:val="20"/>
          <w:szCs w:val="20"/>
          <w:color w:val="auto"/>
        </w:rPr>
      </w:pPr>
      <w:r>
        <w:rPr>
          <w:rFonts w:ascii="Times New Roman" w:cs="Times New Roman" w:eastAsia="Times New Roman" w:hAnsi="Times New Roman"/>
          <w:sz w:val="17"/>
          <w:szCs w:val="17"/>
          <w:color w:val="auto"/>
        </w:rPr>
        <w:t>[NEITHER THE ISSUANCE AND SALE OF THE SECURITIES REPRESENTED BY THIS CERTIFICATE NOR THE SECURITIES INTO WHICH THESE SECURITIES ARE [REDEEMABLE] [EXERCISABLE] HAVE BEEN][THE SECURITIES REPRESENTED BY THIS CERTIFICATE HAVE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w:t>
      </w:r>
    </w:p>
    <w:p>
      <w:pPr>
        <w:spacing w:after="0" w:line="87" w:lineRule="exact"/>
        <w:rPr>
          <w:sz w:val="20"/>
          <w:szCs w:val="20"/>
          <w:color w:val="auto"/>
        </w:rPr>
      </w:pPr>
    </w:p>
    <w:p>
      <w:pPr>
        <w:ind w:left="439" w:right="60" w:hanging="439"/>
        <w:spacing w:after="0" w:line="253" w:lineRule="auto"/>
        <w:tabs>
          <w:tab w:leader="none" w:pos="43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 Certificates evidencing Securities shall not be required to contain the legend set forth in Section 5(c) above or any other legend (i) while a registration statement (including a Registration Statement) covering the resale of such Securities is effective under the 1933 Act, (ii) following any sale of such Securities pursuant to Rule 144 (assuming the transferor is not an affiliate of the Company), (iii) if such Securities are eligible to be sold, assigned or transferred under Rule 144 (provided that the Buyer provides the Company with reasonable assurances that such Securities are eligible for sale, assignment or transfer under Rule 144 which shall not include an opinion of Buyer’s counsel), (iv) in connection with a sale, assignment or other transfer (other than under Rule 144), provided that the Buyer provides the Company with an opinion of counsel to the Buyer, in a generally acceptable form, to the effect that such sale, assignment or transfer of the Securities may be made without registration under the applicable requirements of the 1933 Act or (v) if such legend is not required under applicable requirements of the 1933 Act (including, without limitation, controlling judicial interpretations and pronouncements issued by the SEC). If a legend is not required pursuant to the foregoing, the Company shall no later than two (2) Business Days (or such earlier date as required pursuant to the 1934 Act or other applicable law, rule or regulation for the settlement of a trade initiated on the date the Buyer delivers such legended certificate representing such</w:t>
      </w:r>
    </w:p>
    <w:p>
      <w:pPr>
        <w:spacing w:after="0" w:line="120"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9999"/>
          </w:cols>
          <w:pgMar w:left="1421" w:top="270" w:right="479" w:bottom="1440" w:gutter="0" w:footer="0" w:header="0"/>
        </w:sectPr>
      </w:pPr>
    </w:p>
    <w:bookmarkStart w:id="176" w:name="page177"/>
    <w:bookmarkEnd w:id="176"/>
    <w:p>
      <w:pPr>
        <w:ind w:left="439" w:right="8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to the Company) following the delivery by a Buyer to the Company or the transfer agent (with notice to the Company) of a legended certificate representing such Securities (endorsed or with stock powers attached, signatures guaranteed, and otherwise in form necessary to affect the reissuance and/or transfer, if applicable), together with any other deliveries from the Buyer as may be required above in this Section 5(d), as directed by the Buyer, either: (A) provided that the Company’s transfer agent is participating in the DTC Fast Automated 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and such Securities are Redemption Shares, credit the aggregate number of shares of Common Stock to which the Buyer shall be entitled to the Buyer’s or its designee’s balance account with DTC through its Deposit/Withdrawal at Custodian system or (B) if the Company’s transfer agent is not participating in FAST, issue and deliver (via reputable overnight courier) to the Buyer, a certificate representing such Securities that is free from all restrictive and other legends, registered in the name of the Buyer or its designee (the date by which such credit is so required to be made to the balance account of the Buyer’s or the Buyer’s designee with DTC or such certificate is required to be delivered to the Buyer pursuant to the foregoing is referred to herein as the “</w:t>
      </w:r>
      <w:r>
        <w:rPr>
          <w:rFonts w:ascii="Times New Roman" w:cs="Times New Roman" w:eastAsia="Times New Roman" w:hAnsi="Times New Roman"/>
          <w:sz w:val="18"/>
          <w:szCs w:val="18"/>
          <w:b w:val="1"/>
          <w:bCs w:val="1"/>
          <w:color w:val="auto"/>
        </w:rPr>
        <w:t>Required Delivery Date</w:t>
      </w:r>
      <w:r>
        <w:rPr>
          <w:rFonts w:ascii="Times New Roman" w:cs="Times New Roman" w:eastAsia="Times New Roman" w:hAnsi="Times New Roman"/>
          <w:sz w:val="18"/>
          <w:szCs w:val="18"/>
          <w:color w:val="auto"/>
        </w:rPr>
        <w:t>”, and the date such shares of Common Stock are actually delivered without restrictive legend to the Buyer or the Buyer’s designee with DTC, as applicable, the “</w:t>
      </w:r>
      <w:r>
        <w:rPr>
          <w:rFonts w:ascii="Times New Roman" w:cs="Times New Roman" w:eastAsia="Times New Roman" w:hAnsi="Times New Roman"/>
          <w:sz w:val="18"/>
          <w:szCs w:val="18"/>
          <w:b w:val="1"/>
          <w:bCs w:val="1"/>
          <w:color w:val="auto"/>
        </w:rPr>
        <w:t>Share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The Company shall be responsible for any transfer agent fees or DTC fees with respect to any issuance of Securities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removal of any legends with respect to any Securities in accordance herewith.</w:t>
      </w:r>
    </w:p>
    <w:p>
      <w:pPr>
        <w:spacing w:after="0" w:line="103" w:lineRule="exact"/>
        <w:rPr>
          <w:sz w:val="20"/>
          <w:szCs w:val="20"/>
          <w:color w:val="auto"/>
        </w:rPr>
      </w:pPr>
    </w:p>
    <w:p>
      <w:pPr>
        <w:ind w:left="439" w:hanging="439"/>
        <w:spacing w:after="0" w:line="251" w:lineRule="auto"/>
        <w:tabs>
          <w:tab w:leader="none" w:pos="43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Timely Deliver; Buy-In</w:t>
      </w:r>
      <w:r>
        <w:rPr>
          <w:rFonts w:ascii="Times New Roman" w:cs="Times New Roman" w:eastAsia="Times New Roman" w:hAnsi="Times New Roman"/>
          <w:sz w:val="18"/>
          <w:szCs w:val="18"/>
          <w:color w:val="auto"/>
        </w:rPr>
        <w:t>. If the Company fails, for any reason or for no reason, to issue and deliver (or cause to be delivered) to the Buyer (or its designee) by the Required Delivery Date, either (I) if the Transfer Agent is not participating in FAST, a certificate for the number of Redemption Shares to which the Buyer is entitled and register such Redemption Shares on the Company’s share register or, if the Transfer Agent is participating in FAST, to credit the balance account of the Buyer or the Buyer’s designee with DTC for such number of Redemption Shares submitted for legend removal by the Buyer pursuant to Section 5(d) above or (II) if the Registration Statement covering the resale of the Redemption Shares or Warrant Shares (as the case may be) submitted for legend removal by the Buyer pursuant to Section 5(d) above (the “</w:t>
      </w:r>
      <w:r>
        <w:rPr>
          <w:rFonts w:ascii="Times New Roman" w:cs="Times New Roman" w:eastAsia="Times New Roman" w:hAnsi="Times New Roman"/>
          <w:sz w:val="18"/>
          <w:szCs w:val="18"/>
          <w:b w:val="1"/>
          <w:bCs w:val="1"/>
          <w:color w:val="auto"/>
        </w:rPr>
        <w:t>Unavailable Shares</w:t>
      </w:r>
      <w:r>
        <w:rPr>
          <w:rFonts w:ascii="Times New Roman" w:cs="Times New Roman" w:eastAsia="Times New Roman" w:hAnsi="Times New Roman"/>
          <w:sz w:val="18"/>
          <w:szCs w:val="18"/>
          <w:color w:val="auto"/>
        </w:rPr>
        <w:t>”) is not available for the resale of such Unavailable Shares and the Company fails to promptly, but in no event later than as required pursuant to the Registration Rights Agreement (x) so notify the Buyer and (y) deliver the Redemption Shares or Warrant Shares, as applicable, electronically without any restrictive legend by crediting such aggregate number of Redemption Shares or Warrant Shares (as the case may be) submitted for legend removal by the Buyer pursuant to Section 5(d) above to the Buyer’s or its designee’s balance account with DTC through its Deposit/Withdrawal At Custodian system (the event described in the immediately foregoing clause (II) is hereinafter referred as a “</w:t>
      </w:r>
      <w:r>
        <w:rPr>
          <w:rFonts w:ascii="Times New Roman" w:cs="Times New Roman" w:eastAsia="Times New Roman" w:hAnsi="Times New Roman"/>
          <w:sz w:val="18"/>
          <w:szCs w:val="18"/>
          <w:b w:val="1"/>
          <w:bCs w:val="1"/>
          <w:color w:val="auto"/>
        </w:rPr>
        <w:t>Notice Failure</w:t>
      </w:r>
      <w:r>
        <w:rPr>
          <w:rFonts w:ascii="Times New Roman" w:cs="Times New Roman" w:eastAsia="Times New Roman" w:hAnsi="Times New Roman"/>
          <w:sz w:val="18"/>
          <w:szCs w:val="18"/>
          <w:color w:val="auto"/>
        </w:rPr>
        <w:t>” and together with the event described in clause (I) above, a “</w:t>
      </w:r>
      <w:r>
        <w:rPr>
          <w:rFonts w:ascii="Times New Roman" w:cs="Times New Roman" w:eastAsia="Times New Roman" w:hAnsi="Times New Roman"/>
          <w:sz w:val="18"/>
          <w:szCs w:val="18"/>
          <w:b w:val="1"/>
          <w:bCs w:val="1"/>
          <w:color w:val="auto"/>
        </w:rPr>
        <w:t>Delivery Failure</w:t>
      </w:r>
      <w:r>
        <w:rPr>
          <w:rFonts w:ascii="Times New Roman" w:cs="Times New Roman" w:eastAsia="Times New Roman" w:hAnsi="Times New Roman"/>
          <w:sz w:val="18"/>
          <w:szCs w:val="18"/>
          <w:color w:val="auto"/>
        </w:rPr>
        <w:t>”), then, in addition to all other remedies available to the Buyer, the Company shall pay in cash to the Buyer on each day after the Share Delivery Date and during such Delivery Failure an amount (notwithstanding any calculation to the contrary contained in the Certificate of Designation) equal to 2% of the product of (A) the sum of the number of shares of Common Stock not issued to the Buyer on or prior to the Required Delivery Date and to which the Buyer is entitled, and (B) any trading price of the Common Stock selected by the Buyer in writing as in effect at any time during the period beginning on the date of the delivery by the Buyer to the Company of the applicable Redemption Shares or Warrant Shares (as the case may be) and ending on the applicable Share Delivery Date. In addition to the foregoing, if on or prior to the Required Delivery Date either (I) if the Transfer Agent is not participating in FAST, the Company shall fail to issue and deliver a certificate to the Buyer and register such shares of Common Stock on the Company’s share register or, if the Transfer Agent is participating in FAST, credit the</w:t>
      </w:r>
    </w:p>
    <w:p>
      <w:pPr>
        <w:spacing w:after="0" w:line="138"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019"/>
          </w:cols>
          <w:pgMar w:left="1421" w:top="270" w:right="459" w:bottom="1440" w:gutter="0" w:footer="0" w:header="0"/>
        </w:sectPr>
      </w:pPr>
    </w:p>
    <w:bookmarkStart w:id="177" w:name="page178"/>
    <w:bookmarkEnd w:id="177"/>
    <w:p>
      <w:pPr>
        <w:jc w:val="both"/>
        <w:ind w:left="1000" w:right="3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balance account of the Buyer or the Buyer’s designee with DTC for the number of shares of Common Stock to which the Buyer submitted for legend removal by the Buyer pursuant to Section 5(d) above (ii) below or (II) a Notice Failure occurs, and if on or after such Business Day the Buyer acquires (in an open market transaction, stock loan or otherwise) shares of Common Stock to deliver in satisfaction of a sale by the Buyer of shares of Common Stock submitted for legend removal by the Buyer pursuant to Section 5(d) above that the Buyer is entitled to receive from the Company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the Company shall, within two</w:t>
      </w:r>
    </w:p>
    <w:p>
      <w:pPr>
        <w:spacing w:after="0" w:line="3" w:lineRule="exact"/>
        <w:rPr>
          <w:sz w:val="20"/>
          <w:szCs w:val="20"/>
          <w:color w:val="auto"/>
        </w:rPr>
      </w:pPr>
    </w:p>
    <w:p>
      <w:pPr>
        <w:ind w:left="1000" w:firstLine="7"/>
        <w:spacing w:after="0" w:line="250" w:lineRule="auto"/>
        <w:tabs>
          <w:tab w:leader="none" w:pos="1255"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Buyer’s request and in the Buyer’s discretion, either (i) pay cash to the Buyer in an amount equal to the Buyer’s total purchase price (including brokerage commissions, stock loan costs and other out-of-pocket expenses, if any) for the shares of Common Stock so acquired (including, without limitation, by any other Person in respect, or on behalf, of the Buyer)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deliver such certificate or credit the Buyer’s balance account shall terminate and such shares shall be cancelled, or (ii) promptly honor its obligation to so deliver to the Buyer a certificate or certificates or credit the balance account of the Buyer or the Buyer’s designee with DTC representing such number of shares of Common Stock that would have been so delivered if the Company timely complied with its obligations hereunder and pay cash to the Buyer in an amount equal to the excess (if any) of the Buy-In Price over the product of (A) such number of shares of Redemption Shares or Warrant Shares (as the case may be) that the Company was required to deliver to the Buyer by the Required Delivery Date multiplied by (B) the lowest closing sale price of the Common Stock on any Business Day during the period commencing on the date of the delivery by the Buyer to the Company of the applicable Redemption Shares or Warrant Shares (as the case may be) and ending on the date of such delivery and payment under this clause (ii). Nothing shall limit the Buyer’s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as required pursuant to the terms hereof. Notwithstanding anything herein to the contrary, with respect to any given Notice Failure and/or Delivery Failure, this Section 5(e) shall not apply to the applicable Buyer to the extent (i) the Company has already paid such amounts in full to the Buyer with respect to such Notice Failure and/or Delivery Failure, as applicable, pursuant to the analogous sections of the Certificate of Designations, with respect to the Preferred Shares, then held by the Buyer or (ii) such Notice Failure and/or Delivery Failure, as applicable, is caused by the Buyer or its broker, including but not limited to, any failure caused by incorrect or incomplete information provided by the Buyer to the Company or failure of the Buyer or Buyer’s broker to properly initiate the DWAC.</w:t>
      </w:r>
    </w:p>
    <w:p>
      <w:pPr>
        <w:spacing w:after="0" w:line="111"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FAST Compliance</w:t>
      </w:r>
      <w:r>
        <w:rPr>
          <w:rFonts w:ascii="Times New Roman" w:cs="Times New Roman" w:eastAsia="Times New Roman" w:hAnsi="Times New Roman"/>
          <w:sz w:val="18"/>
          <w:szCs w:val="18"/>
          <w:color w:val="auto"/>
        </w:rPr>
        <w:t>. While any Securities remain outstanding, the Company shall maintain a transfer agent that participates in FAST.</w:t>
      </w:r>
    </w:p>
    <w:p>
      <w:pPr>
        <w:spacing w:after="0" w:line="12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THE COMPANY’S OBLIGATION TO SELL.</w:t>
      </w:r>
    </w:p>
    <w:p>
      <w:pPr>
        <w:spacing w:after="0" w:line="134" w:lineRule="exact"/>
        <w:rPr>
          <w:rFonts w:ascii="Times New Roman" w:cs="Times New Roman" w:eastAsia="Times New Roman" w:hAnsi="Times New Roman"/>
          <w:sz w:val="18"/>
          <w:szCs w:val="18"/>
          <w:b w:val="1"/>
          <w:bCs w:val="1"/>
          <w:color w:val="auto"/>
        </w:rPr>
      </w:pPr>
    </w:p>
    <w:p>
      <w:pPr>
        <w:ind w:left="1000" w:right="80" w:hanging="439"/>
        <w:spacing w:after="0" w:line="261" w:lineRule="auto"/>
        <w:tabs>
          <w:tab w:leader="none" w:pos="10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Company hereunder to issue and sell the Preferred Shares to the Buyer at the Closing is subject to the satisfaction, at or before the Closing Date, of each of the following conditions, provided that these conditions are for the Company’s sole benefit and may be waived by the Company at any time in its sole discretion by providing the Buyer with prior written notice thereof:</w:t>
      </w:r>
    </w:p>
    <w:p>
      <w:pPr>
        <w:spacing w:after="0" w:line="71" w:lineRule="exact"/>
        <w:rPr>
          <w:rFonts w:ascii="Times New Roman" w:cs="Times New Roman" w:eastAsia="Times New Roman" w:hAnsi="Times New Roman"/>
          <w:sz w:val="18"/>
          <w:szCs w:val="18"/>
          <w:color w:val="auto"/>
        </w:rPr>
      </w:pPr>
    </w:p>
    <w:p>
      <w:pPr>
        <w:ind w:left="1680" w:hanging="210"/>
        <w:spacing w:after="0"/>
        <w:tabs>
          <w:tab w:leader="none" w:pos="1680" w:val="left"/>
        </w:tabs>
        <w:numPr>
          <w:ilvl w:val="3"/>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have executed each of the Transaction Documents to which it is a party and delivered the same to the</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3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80"/>
          </w:cols>
          <w:pgMar w:left="860" w:top="270" w:right="459" w:bottom="1440" w:gutter="0" w:footer="0" w:header="0"/>
        </w:sectPr>
      </w:pPr>
    </w:p>
    <w:bookmarkStart w:id="178" w:name="page179"/>
    <w:bookmarkEnd w:id="178"/>
    <w:p>
      <w:pPr>
        <w:jc w:val="both"/>
        <w:ind w:left="560" w:right="240" w:firstLine="910"/>
        <w:spacing w:after="0" w:line="266" w:lineRule="auto"/>
        <w:tabs>
          <w:tab w:leader="none" w:pos="1727" w:val="left"/>
        </w:tabs>
        <w:numPr>
          <w:ilvl w:val="3"/>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Buyer and each other Buyer shall have delivered to the Company the Purchase Price (less, in the case of the Buyer, the amounts withheld pursuant to Section 4(g)) for the Preferred Shares being purchased by the Buyer at the Closing by wire transfer of immediately available funds.</w:t>
      </w:r>
    </w:p>
    <w:p>
      <w:pPr>
        <w:spacing w:after="0" w:line="67" w:lineRule="exact"/>
        <w:rPr>
          <w:rFonts w:ascii="Times New Roman" w:cs="Times New Roman" w:eastAsia="Times New Roman" w:hAnsi="Times New Roman"/>
          <w:sz w:val="18"/>
          <w:szCs w:val="18"/>
          <w:color w:val="auto"/>
        </w:rPr>
      </w:pPr>
    </w:p>
    <w:p>
      <w:pPr>
        <w:ind w:left="560" w:firstLine="910"/>
        <w:spacing w:after="0" w:line="258" w:lineRule="auto"/>
        <w:tabs>
          <w:tab w:leader="none" w:pos="1777" w:val="left"/>
        </w:tabs>
        <w:numPr>
          <w:ilvl w:val="3"/>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Buyer shall be true and correct in all material respects as of the date when made and as of the Closing Date as though originally made at that time (except for representations and warranties that speak as of a specific date, which shall be true and correct as of such specific date), and the Buyer shall have performed, satisfied and complied in all material respects with the covenants, agreements and conditions required by this Agreement to be performed, satisfied or complied with by the Buyer at or prior to the Closing Date.</w:t>
      </w:r>
    </w:p>
    <w:p>
      <w:pPr>
        <w:spacing w:after="0" w:line="84"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THE BUYER’S OBLIGATION TO PURCHASE.</w:t>
      </w:r>
    </w:p>
    <w:p>
      <w:pPr>
        <w:spacing w:after="0" w:line="134" w:lineRule="exact"/>
        <w:rPr>
          <w:rFonts w:ascii="Times New Roman" w:cs="Times New Roman" w:eastAsia="Times New Roman" w:hAnsi="Times New Roman"/>
          <w:sz w:val="18"/>
          <w:szCs w:val="18"/>
          <w:b w:val="1"/>
          <w:bCs w:val="1"/>
          <w:color w:val="auto"/>
        </w:rPr>
      </w:pPr>
    </w:p>
    <w:p>
      <w:pPr>
        <w:ind w:left="1000" w:right="60" w:hanging="439"/>
        <w:spacing w:after="0" w:line="266" w:lineRule="auto"/>
        <w:tabs>
          <w:tab w:leader="none" w:pos="100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Buyer hereunder to purchase its Preferred Shares at the Closing is subject to the satisfaction, at or before the Closing Date, of each of the following conditions, provided that these conditions are for the Buyer’s sole benefit and may be waived by the Buyer at any time in its sole discretion by providing the Company with prior written notice thereof:</w:t>
      </w:r>
    </w:p>
    <w:p>
      <w:pPr>
        <w:spacing w:after="0" w:line="67" w:lineRule="exact"/>
        <w:rPr>
          <w:rFonts w:ascii="Times New Roman" w:cs="Times New Roman" w:eastAsia="Times New Roman" w:hAnsi="Times New Roman"/>
          <w:sz w:val="18"/>
          <w:szCs w:val="18"/>
          <w:color w:val="auto"/>
        </w:rPr>
      </w:pPr>
    </w:p>
    <w:p>
      <w:pPr>
        <w:ind w:left="560" w:firstLine="910"/>
        <w:spacing w:after="0" w:line="266" w:lineRule="auto"/>
        <w:tabs>
          <w:tab w:leader="none" w:pos="1677" w:val="left"/>
        </w:tabs>
        <w:numPr>
          <w:ilvl w:val="3"/>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duly executed and delivered to the Buyer each of the Transaction Documents to which it is a party and the Company shall have duly delivered to the Buyer such aggregate number of Preferred Shares as set forth on the signature page hereto at the Closing pursuant to this Agreement.</w:t>
      </w:r>
    </w:p>
    <w:p>
      <w:pPr>
        <w:spacing w:after="0" w:line="67" w:lineRule="exact"/>
        <w:rPr>
          <w:rFonts w:ascii="Times New Roman" w:cs="Times New Roman" w:eastAsia="Times New Roman" w:hAnsi="Times New Roman"/>
          <w:sz w:val="18"/>
          <w:szCs w:val="18"/>
          <w:color w:val="auto"/>
        </w:rPr>
      </w:pPr>
    </w:p>
    <w:p>
      <w:pPr>
        <w:ind w:left="560" w:right="240" w:firstLine="910"/>
        <w:spacing w:after="0" w:line="282" w:lineRule="auto"/>
        <w:tabs>
          <w:tab w:leader="none" w:pos="1727" w:val="left"/>
        </w:tabs>
        <w:numPr>
          <w:ilvl w:val="3"/>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have received the opinion of Reed Smith LLP, the Company’s counsel, dated as of the Closing Date, in the form acceptable to the Buyer.</w:t>
      </w:r>
    </w:p>
    <w:p>
      <w:pPr>
        <w:spacing w:after="0" w:line="53" w:lineRule="exact"/>
        <w:rPr>
          <w:rFonts w:ascii="Times New Roman" w:cs="Times New Roman" w:eastAsia="Times New Roman" w:hAnsi="Times New Roman"/>
          <w:sz w:val="18"/>
          <w:szCs w:val="18"/>
          <w:color w:val="auto"/>
        </w:rPr>
      </w:pPr>
    </w:p>
    <w:p>
      <w:pPr>
        <w:ind w:left="560" w:right="600" w:firstLine="910"/>
        <w:spacing w:after="0" w:line="282" w:lineRule="auto"/>
        <w:tabs>
          <w:tab w:leader="none" w:pos="1777" w:val="left"/>
        </w:tabs>
        <w:numPr>
          <w:ilvl w:val="3"/>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Buyer a copy of the Irrevocable Transfer Agent Instructions, in the form acceptable to the Buyer, which instructions shall be in the form to be delivered to the Company’s transfer agent.</w:t>
      </w:r>
    </w:p>
    <w:p>
      <w:pPr>
        <w:spacing w:after="0" w:line="53" w:lineRule="exact"/>
        <w:rPr>
          <w:rFonts w:ascii="Times New Roman" w:cs="Times New Roman" w:eastAsia="Times New Roman" w:hAnsi="Times New Roman"/>
          <w:sz w:val="18"/>
          <w:szCs w:val="18"/>
          <w:color w:val="auto"/>
        </w:rPr>
      </w:pPr>
    </w:p>
    <w:p>
      <w:pPr>
        <w:ind w:left="1780" w:hanging="310"/>
        <w:spacing w:after="0"/>
        <w:tabs>
          <w:tab w:leader="none" w:pos="1780" w:val="left"/>
        </w:tabs>
        <w:numPr>
          <w:ilvl w:val="3"/>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17" w:lineRule="exact"/>
        <w:rPr>
          <w:rFonts w:ascii="Times New Roman" w:cs="Times New Roman" w:eastAsia="Times New Roman" w:hAnsi="Times New Roman"/>
          <w:sz w:val="18"/>
          <w:szCs w:val="18"/>
          <w:color w:val="auto"/>
        </w:rPr>
      </w:pPr>
    </w:p>
    <w:p>
      <w:pPr>
        <w:ind w:left="1720" w:hanging="250"/>
        <w:spacing w:after="0"/>
        <w:tabs>
          <w:tab w:leader="none" w:pos="1720" w:val="left"/>
        </w:tabs>
        <w:numPr>
          <w:ilvl w:val="3"/>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17" w:lineRule="exact"/>
        <w:rPr>
          <w:rFonts w:ascii="Times New Roman" w:cs="Times New Roman" w:eastAsia="Times New Roman" w:hAnsi="Times New Roman"/>
          <w:sz w:val="18"/>
          <w:szCs w:val="18"/>
          <w:color w:val="auto"/>
        </w:rPr>
      </w:pPr>
    </w:p>
    <w:p>
      <w:pPr>
        <w:ind w:left="560" w:right="100" w:firstLine="910"/>
        <w:spacing w:after="0" w:line="282" w:lineRule="auto"/>
        <w:tabs>
          <w:tab w:leader="none" w:pos="1767" w:val="left"/>
        </w:tabs>
        <w:numPr>
          <w:ilvl w:val="3"/>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Buyer a filed copy of the Certificate of Designations as filed with the Delaware Secretary of State within ten (10) days of the Closing Date.</w:t>
      </w:r>
    </w:p>
    <w:p>
      <w:pPr>
        <w:spacing w:after="0" w:line="53" w:lineRule="exact"/>
        <w:rPr>
          <w:rFonts w:ascii="Times New Roman" w:cs="Times New Roman" w:eastAsia="Times New Roman" w:hAnsi="Times New Roman"/>
          <w:sz w:val="18"/>
          <w:szCs w:val="18"/>
          <w:color w:val="auto"/>
        </w:rPr>
      </w:pPr>
    </w:p>
    <w:p>
      <w:pPr>
        <w:ind w:left="560" w:right="500" w:firstLine="910"/>
        <w:spacing w:after="0" w:line="272" w:lineRule="auto"/>
        <w:tabs>
          <w:tab w:leader="none" w:pos="1817" w:val="left"/>
        </w:tabs>
        <w:numPr>
          <w:ilvl w:val="3"/>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delivered to the Buyer a certificate, in the form acceptable to the Buyer, executed by the Secretary of the Company and dated as of the Closing Date, as to (i) the resolutions consistent with Section 3(b) as adopted by the Company’s board of directors in a form reasonably acceptable to the Buyer, (ii) the Certificate of Incorporation of the Company and</w:t>
      </w:r>
    </w:p>
    <w:p>
      <w:pPr>
        <w:spacing w:after="0" w:line="1" w:lineRule="exact"/>
        <w:rPr>
          <w:rFonts w:ascii="Times New Roman" w:cs="Times New Roman" w:eastAsia="Times New Roman" w:hAnsi="Times New Roman"/>
          <w:sz w:val="17"/>
          <w:szCs w:val="17"/>
          <w:color w:val="auto"/>
        </w:rPr>
      </w:pPr>
    </w:p>
    <w:p>
      <w:pPr>
        <w:ind w:left="880" w:hanging="313"/>
        <w:spacing w:after="0"/>
        <w:tabs>
          <w:tab w:leader="none" w:pos="880"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the Company, each as in effect at the Closing.</w:t>
      </w:r>
    </w:p>
    <w:p>
      <w:pPr>
        <w:spacing w:after="0" w:line="98" w:lineRule="exact"/>
        <w:rPr>
          <w:rFonts w:ascii="Times New Roman" w:cs="Times New Roman" w:eastAsia="Times New Roman" w:hAnsi="Times New Roman"/>
          <w:sz w:val="18"/>
          <w:szCs w:val="18"/>
          <w:color w:val="auto"/>
        </w:rPr>
      </w:pPr>
    </w:p>
    <w:p>
      <w:pPr>
        <w:ind w:left="560" w:firstLine="910"/>
        <w:spacing w:after="0" w:line="256" w:lineRule="auto"/>
        <w:tabs>
          <w:tab w:leader="none" w:pos="1867" w:val="left"/>
        </w:tabs>
        <w:numPr>
          <w:ilvl w:val="3"/>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and every representation and warranty of the Company shall be true and correct as of the date when made and as of the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required to be performed, satisfied or complied with by the Company at or prior to the Closing Date. The Buyer shall have received a certificate, duly executed by the Chief Executive Officer of the Company, dated as of the Closing Date, to the foregoing effect and as to such other matters as may be reasonably requested by the Buyer in the form acceptable to the Buyer.</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580"/>
          </w:cols>
          <w:pgMar w:left="860" w:top="270" w:right="459" w:bottom="1440" w:gutter="0" w:footer="0" w:header="0"/>
        </w:sectPr>
      </w:pPr>
    </w:p>
    <w:bookmarkStart w:id="179" w:name="page180"/>
    <w:bookmarkEnd w:id="179"/>
    <w:p>
      <w:pPr>
        <w:ind w:left="2200" w:hanging="310"/>
        <w:spacing w:after="0"/>
        <w:tabs>
          <w:tab w:leader="none" w:pos="220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Intentionally omitted</w:t>
      </w:r>
    </w:p>
    <w:p>
      <w:pPr>
        <w:spacing w:after="0" w:line="117" w:lineRule="exact"/>
        <w:rPr>
          <w:rFonts w:ascii="Times New Roman" w:cs="Times New Roman" w:eastAsia="Times New Roman" w:hAnsi="Times New Roman"/>
          <w:sz w:val="18"/>
          <w:szCs w:val="18"/>
          <w:color w:val="auto"/>
        </w:rPr>
      </w:pPr>
    </w:p>
    <w:p>
      <w:pPr>
        <w:ind w:left="980" w:right="40" w:firstLine="910"/>
        <w:spacing w:after="0" w:line="281" w:lineRule="auto"/>
        <w:tabs>
          <w:tab w:leader="none" w:pos="2137" w:val="left"/>
        </w:tabs>
        <w:numPr>
          <w:ilvl w:val="1"/>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Common Stock (A) shall be designated for quotation or listed (as applicable) on a Trading Market and (B) shall not have been suspended, as of the Closing Date, by the SEC or the applicable Trading Market from trading on the applicable Trading Market nor shall suspension by the SEC or the applicable Trading Market have been threatened, as of the Closing Date, either (I) in writing by the SEC or the applicable Trading Market or (II) by falling below the minimum maintenance requirements of the applicable Trading Market.</w:t>
      </w:r>
    </w:p>
    <w:p>
      <w:pPr>
        <w:spacing w:after="0" w:line="56" w:lineRule="exact"/>
        <w:rPr>
          <w:rFonts w:ascii="Times New Roman" w:cs="Times New Roman" w:eastAsia="Times New Roman" w:hAnsi="Times New Roman"/>
          <w:sz w:val="17"/>
          <w:szCs w:val="17"/>
          <w:color w:val="auto"/>
        </w:rPr>
      </w:pPr>
    </w:p>
    <w:p>
      <w:pPr>
        <w:ind w:left="980" w:firstLine="910"/>
        <w:spacing w:after="0" w:line="282" w:lineRule="auto"/>
        <w:tabs>
          <w:tab w:leader="none" w:pos="2187"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all governmental, regulatory or third party consents and approvals, if any, necessary for the sale of the Securities, including without limitation, those required by the applicable Trading Market, if any.</w:t>
      </w:r>
    </w:p>
    <w:p>
      <w:pPr>
        <w:spacing w:after="0" w:line="53" w:lineRule="exact"/>
        <w:rPr>
          <w:rFonts w:ascii="Times New Roman" w:cs="Times New Roman" w:eastAsia="Times New Roman" w:hAnsi="Times New Roman"/>
          <w:sz w:val="18"/>
          <w:szCs w:val="18"/>
          <w:color w:val="auto"/>
        </w:rPr>
      </w:pPr>
    </w:p>
    <w:p>
      <w:pPr>
        <w:ind w:left="980" w:firstLine="910"/>
        <w:spacing w:after="0" w:line="266" w:lineRule="auto"/>
        <w:tabs>
          <w:tab w:leader="none" w:pos="2237"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spacing w:after="0" w:line="67" w:lineRule="exact"/>
        <w:rPr>
          <w:rFonts w:ascii="Times New Roman" w:cs="Times New Roman" w:eastAsia="Times New Roman" w:hAnsi="Times New Roman"/>
          <w:sz w:val="18"/>
          <w:szCs w:val="18"/>
          <w:color w:val="auto"/>
        </w:rPr>
      </w:pPr>
    </w:p>
    <w:p>
      <w:pPr>
        <w:ind w:left="2300" w:hanging="410"/>
        <w:spacing w:after="0"/>
        <w:tabs>
          <w:tab w:leader="none" w:pos="230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notice to the applicable Trading Market.</w:t>
      </w:r>
    </w:p>
    <w:p>
      <w:pPr>
        <w:spacing w:after="0" w:line="117" w:lineRule="exact"/>
        <w:rPr>
          <w:rFonts w:ascii="Times New Roman" w:cs="Times New Roman" w:eastAsia="Times New Roman" w:hAnsi="Times New Roman"/>
          <w:sz w:val="18"/>
          <w:szCs w:val="18"/>
          <w:color w:val="auto"/>
        </w:rPr>
      </w:pPr>
    </w:p>
    <w:p>
      <w:pPr>
        <w:ind w:left="980" w:right="240" w:firstLine="910"/>
        <w:spacing w:after="0" w:line="282" w:lineRule="auto"/>
        <w:tabs>
          <w:tab w:leader="none" w:pos="2277"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shall have delivered to the Buyer such other documents, instruments or certificates relating to the transactions contemplated by this Agreement as the Buyer or its counsel may reasonably request.</w:t>
      </w:r>
    </w:p>
    <w:p>
      <w:pPr>
        <w:spacing w:after="0" w:line="6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In the event that the Closing shall not have occurred with respect to the Buyer within five (5) days of the Execution Date, then the Buyer shall have the right to terminate its obligations under this Agreement with respect to itself at any time on or after the close of business on such date without liability of the Buyer to any other party; provided, however, (i) the right to terminate this Agreement under this Section 8 shall not be available to the Buyer if the failure of the transactions contemplated by this Agreement to have been consummated by such date is the result of the Buyer’s breach of this Agreement and (ii) the abandonment of the sale and purchase of the Preferred Shares shall be applicable only to the Buyer providing such written notice, provided further that no such termination shall affect any obligation of the Company under this Agreement to reimburse the Buyer for the expenses described in Section 4(g) above. Nothing contained in this Section 8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90" w:lineRule="exact"/>
        <w:rPr>
          <w:sz w:val="20"/>
          <w:szCs w:val="20"/>
          <w:color w:val="auto"/>
        </w:rPr>
      </w:pPr>
    </w:p>
    <w:p>
      <w:pPr>
        <w:ind w:left="960" w:hanging="532"/>
        <w:spacing w:after="0"/>
        <w:tabs>
          <w:tab w:leader="none" w:pos="96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34" w:lineRule="exact"/>
        <w:rPr>
          <w:rFonts w:ascii="Times New Roman" w:cs="Times New Roman" w:eastAsia="Times New Roman" w:hAnsi="Times New Roman"/>
          <w:sz w:val="18"/>
          <w:szCs w:val="18"/>
          <w:b w:val="1"/>
          <w:bCs w:val="1"/>
          <w:color w:val="auto"/>
        </w:rPr>
      </w:pPr>
    </w:p>
    <w:p>
      <w:pPr>
        <w:ind w:left="1420" w:right="120" w:hanging="439"/>
        <w:spacing w:after="0" w:line="261" w:lineRule="auto"/>
        <w:tabs>
          <w:tab w:leader="none" w:pos="142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Jury Trial</w:t>
      </w:r>
      <w:r>
        <w:rPr>
          <w:rFonts w:ascii="Times New Roman" w:cs="Times New Roman" w:eastAsia="Times New Roman" w:hAnsi="Times New Roman"/>
          <w:sz w:val="18"/>
          <w:szCs w:val="18"/>
          <w:color w:val="auto"/>
        </w:rPr>
        <w:t>. This Agreement, and all claims or cause of action (whether in contract, tort or statute)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70" w:right="479" w:bottom="1440" w:gutter="0" w:footer="0" w:header="0"/>
        </w:sectPr>
      </w:pPr>
    </w:p>
    <w:bookmarkStart w:id="180" w:name="page181"/>
    <w:bookmarkEnd w:id="180"/>
    <w:p>
      <w:pPr>
        <w:ind w:left="439" w:right="3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be governed by and construed and enforced in accordance with the internal laws of the State of Delaware without regard to conflict of law principles that would result in the application of any law other than the law of the State of Delaware. The parties</w:t>
      </w:r>
    </w:p>
    <w:p>
      <w:pPr>
        <w:spacing w:after="0" w:line="1" w:lineRule="exact"/>
        <w:rPr>
          <w:sz w:val="20"/>
          <w:szCs w:val="20"/>
          <w:color w:val="auto"/>
        </w:rPr>
      </w:pPr>
    </w:p>
    <w:p>
      <w:pPr>
        <w:ind w:left="439" w:firstLine="7"/>
        <w:spacing w:after="0" w:line="251" w:lineRule="auto"/>
        <w:tabs>
          <w:tab w:leader="none" w:pos="683"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hereby irrevocably and unconditionally submit to the jurisdiction of the state courts of Florida and to the jurisdiction of the United States District Court in the City and County of West Palm Beach, Palm Beach County for the purpose of any suit, action or other proceeding arising out of or based upon this Agreement, (b) agree not to commence any suit, action or other proceeding arising out of or based upon this Agreement except in the state courts of Delaware or the United States District Court in the City and County of West Palm Beach, Palm Beach County,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94" w:lineRule="exact"/>
        <w:rPr>
          <w:rFonts w:ascii="Times New Roman" w:cs="Times New Roman" w:eastAsia="Times New Roman" w:hAnsi="Times New Roman"/>
          <w:sz w:val="18"/>
          <w:szCs w:val="18"/>
          <w:color w:val="auto"/>
        </w:rPr>
      </w:pPr>
    </w:p>
    <w:p>
      <w:pPr>
        <w:ind w:left="439" w:hanging="439"/>
        <w:spacing w:after="0" w:line="258" w:lineRule="auto"/>
        <w:tabs>
          <w:tab w:leader="none" w:pos="43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88" w:lineRule="exact"/>
        <w:rPr>
          <w:rFonts w:ascii="Times New Roman" w:cs="Times New Roman" w:eastAsia="Times New Roman" w:hAnsi="Times New Roman"/>
          <w:sz w:val="18"/>
          <w:szCs w:val="18"/>
          <w:color w:val="auto"/>
        </w:rPr>
      </w:pPr>
    </w:p>
    <w:p>
      <w:pPr>
        <w:ind w:left="439" w:right="60" w:hanging="439"/>
        <w:spacing w:after="0" w:line="258" w:lineRule="auto"/>
        <w:tabs>
          <w:tab w:leader="none" w:pos="43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Gender</w:t>
      </w:r>
      <w:r>
        <w:rPr>
          <w:rFonts w:ascii="Times New Roman" w:cs="Times New Roman" w:eastAsia="Times New Roman" w:hAnsi="Times New Roman"/>
          <w:sz w:val="18"/>
          <w:szCs w:val="18"/>
          <w:color w:val="auto"/>
        </w:rPr>
        <w:t>.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88" w:lineRule="exact"/>
        <w:rPr>
          <w:rFonts w:ascii="Times New Roman" w:cs="Times New Roman" w:eastAsia="Times New Roman" w:hAnsi="Times New Roman"/>
          <w:sz w:val="18"/>
          <w:szCs w:val="18"/>
          <w:color w:val="auto"/>
        </w:rPr>
      </w:pPr>
    </w:p>
    <w:p>
      <w:pPr>
        <w:ind w:left="439" w:right="140" w:hanging="439"/>
        <w:spacing w:after="0" w:line="261" w:lineRule="auto"/>
        <w:tabs>
          <w:tab w:leader="none" w:pos="43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Maximum Payment Amounts</w:t>
      </w:r>
      <w:r>
        <w:rPr>
          <w:rFonts w:ascii="Times New Roman" w:cs="Times New Roman" w:eastAsia="Times New Roman" w:hAnsi="Times New Roman"/>
          <w:sz w:val="18"/>
          <w:szCs w:val="18"/>
          <w:color w:val="auto"/>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w:t>
      </w:r>
    </w:p>
    <w:p>
      <w:pPr>
        <w:spacing w:after="0" w:line="112"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019"/>
          </w:cols>
          <w:pgMar w:left="1421" w:top="270" w:right="459" w:bottom="1440" w:gutter="0" w:footer="0" w:header="0"/>
        </w:sectPr>
      </w:pPr>
    </w:p>
    <w:bookmarkStart w:id="181" w:name="page182"/>
    <w:bookmarkEnd w:id="181"/>
    <w:p>
      <w:pPr>
        <w:ind w:left="439"/>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Notwithstanding anything to the contrary contained in this Agreement or any other Transaction Document (and without implication that the following is required or applicable), it is the intention of the parties that in no event shall amounts and value paid by the Company and/or any of its Subsidiaries (as the case may be), or payable to or received by the Buyer, under the Transaction Documents (including without limitation, any amounts that would be characterized as “interest” under applicable law) exceed amounts permitted under any applicable law. Accordingly, if any obligation to pay, payment made to the Buyer, or collection by the Buyer pursuant the Transaction Documents is finally judicially determined to be contrary to any such applicable law, such obligation to pay, payment or collection shall be deemed to have been made by mutual mistake of the Buyer, the Company and its Subsidiaries and such amount shall be deemed to have been adjusted with retroactive effect to the maximum amount or rate of interest, as the case may be, as would not be so prohibited by the applicable law. Such adjustment shall be effected, to the extent necessary, by reducing or refunding, at the option of the Buyer, the amount of interest or any other amounts which would constitute unlawful amounts required to be paid or actually paid to the Buyer under the Transaction Documents. For greater certainty, to the extent that any interest, charges, fees, expenses or other amounts required to be paid to or received by the Buyer under any of the Transaction Documents or related thereto are held to be within the meaning of “interest” or another applicable term to otherwise be violative of applicable law, such amounts shall be pro-rated over the period of time to which they relate.</w:t>
      </w:r>
    </w:p>
    <w:p>
      <w:pPr>
        <w:spacing w:after="0" w:line="95" w:lineRule="exact"/>
        <w:rPr>
          <w:sz w:val="20"/>
          <w:szCs w:val="20"/>
          <w:color w:val="auto"/>
        </w:rPr>
      </w:pPr>
    </w:p>
    <w:p>
      <w:pPr>
        <w:ind w:left="439" w:hanging="439"/>
        <w:spacing w:after="0" w:line="252" w:lineRule="auto"/>
        <w:tabs>
          <w:tab w:leader="none" w:pos="439"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the other Transaction Documents and the schedules and exhibits attached hereto and thereto and the instruments referenced herein and therein supersede all other prior oral or written agreements between the Buyer, the Company, its Subsidiaries, their affiliates and Persons acting on their behalf, including, without limitation, any transactions by the Buyer with respect to the Securities, and the other matters contained herein and therein, and this Agreement, the other Transaction Documents, the schedules and exhibits attached hereto and thereto and the instruments referenced herein and therein contain the entire understanding of the parties solely with respect to the matters covered herein and therein; provided, however, nothing contained in this Agreement or any other Transaction Document shall (or shall be deemed to) have any effect on any agreements the Buyer has entered into with, or any instruments the Buyer has received from, the Company or any of its Subsidiaries prior to the Execution Date with respect to any prior investment made by the Buyer in the Company. Except as specifically set forth herein or therein, neither the Company nor the Buyer makes any representation, warranty, covenant or undertaking with respect to such matters. For clarification purposes, the Recitals are part of this Agreement. No provision of this Agreement may be amended other than by an instrument in writing signed by the Company and the Buyer, and any amendment to any provision of this Agreement made in conformity with the provisions of this Section 9(e) shall be binding on the Buyers and holders of Securities. No waiver shall be effective unless it is in writing and signed by an authorized representative of the waiving party, provided that the Buyer may waive any provision of this Agreement, and any waiver of any provision of this Agreement made in conformity with the provisions of this Section 9(e) shall be binding on the Buyer and holders of Securities. No consideration (other than reimbursement of legal fees) shall be offered or paid to any Person to amend or consent</w:t>
      </w:r>
    </w:p>
    <w:p>
      <w:pPr>
        <w:spacing w:after="0" w:line="126"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9999"/>
          </w:cols>
          <w:pgMar w:left="1421" w:top="270" w:right="479" w:bottom="1440" w:gutter="0" w:footer="0" w:header="0"/>
        </w:sectPr>
      </w:pPr>
    </w:p>
    <w:bookmarkStart w:id="182" w:name="page183"/>
    <w:bookmarkEnd w:id="182"/>
    <w:p>
      <w:pPr>
        <w:ind w:left="43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 waiver or modification of any provision of any of the Transaction Documents unless the same consideration also is offered to all of the parties to the Transaction Documents, all holders of the Preferred Shares.</w:t>
      </w:r>
    </w:p>
    <w:p>
      <w:pPr>
        <w:spacing w:after="0" w:line="67" w:lineRule="exact"/>
        <w:rPr>
          <w:sz w:val="20"/>
          <w:szCs w:val="20"/>
          <w:color w:val="auto"/>
        </w:rPr>
      </w:pPr>
    </w:p>
    <w:p>
      <w:pPr>
        <w:ind w:left="439" w:right="40" w:hanging="439"/>
        <w:spacing w:after="0" w:line="255" w:lineRule="auto"/>
        <w:tabs>
          <w:tab w:leader="none" w:pos="43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consents, waivers or other communications required or permitted to be given under the terms of this Agreement must be in writing and will be deemed to have been delivered: (i) upon receipt, when delivered personally; (ii) upon receipt, when sent by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or (iii) one (1) Business Day after deposit with an overnight courier service with next day delivery specified, in each case, properly addressed to the party to receive the same. The mailing addresses and e-mail addresses for such communications shall be:</w:t>
      </w:r>
    </w:p>
    <w:p>
      <w:pPr>
        <w:spacing w:after="0" w:line="81" w:lineRule="exact"/>
        <w:rPr>
          <w:sz w:val="20"/>
          <w:szCs w:val="20"/>
          <w:color w:val="auto"/>
        </w:rPr>
      </w:pPr>
    </w:p>
    <w:p>
      <w:pPr>
        <w:ind w:left="1779"/>
        <w:spacing w:after="0"/>
        <w:rPr>
          <w:sz w:val="20"/>
          <w:szCs w:val="20"/>
          <w:color w:val="auto"/>
        </w:rPr>
      </w:pPr>
      <w:r>
        <w:rPr>
          <w:rFonts w:ascii="Times New Roman" w:cs="Times New Roman" w:eastAsia="Times New Roman" w:hAnsi="Times New Roman"/>
          <w:sz w:val="18"/>
          <w:szCs w:val="18"/>
          <w:u w:val="single" w:color="auto"/>
          <w:color w:val="auto"/>
        </w:rPr>
        <w:t>If to the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779"/>
        <w:spacing w:after="0"/>
        <w:rPr>
          <w:sz w:val="20"/>
          <w:szCs w:val="20"/>
          <w:color w:val="auto"/>
        </w:rPr>
      </w:pPr>
      <w:r>
        <w:rPr>
          <w:rFonts w:ascii="Times New Roman" w:cs="Times New Roman" w:eastAsia="Times New Roman" w:hAnsi="Times New Roman"/>
          <w:sz w:val="18"/>
          <w:szCs w:val="18"/>
          <w:color w:val="auto"/>
        </w:rPr>
        <w:t>Jaguar Health, Inc.</w:t>
      </w:r>
    </w:p>
    <w:p>
      <w:pPr>
        <w:spacing w:after="0" w:line="27" w:lineRule="exact"/>
        <w:rPr>
          <w:sz w:val="20"/>
          <w:szCs w:val="20"/>
          <w:color w:val="auto"/>
        </w:rPr>
      </w:pPr>
    </w:p>
    <w:p>
      <w:pPr>
        <w:ind w:left="1779"/>
        <w:spacing w:after="0"/>
        <w:rPr>
          <w:sz w:val="20"/>
          <w:szCs w:val="20"/>
          <w:color w:val="auto"/>
        </w:rPr>
      </w:pPr>
      <w:r>
        <w:rPr>
          <w:rFonts w:ascii="Times New Roman" w:cs="Times New Roman" w:eastAsia="Times New Roman" w:hAnsi="Times New Roman"/>
          <w:sz w:val="18"/>
          <w:szCs w:val="18"/>
          <w:color w:val="auto"/>
        </w:rPr>
        <w:t>200 Pine Street, Suite 400</w:t>
      </w:r>
    </w:p>
    <w:p>
      <w:pPr>
        <w:spacing w:after="0" w:line="9" w:lineRule="exact"/>
        <w:rPr>
          <w:sz w:val="20"/>
          <w:szCs w:val="20"/>
          <w:color w:val="auto"/>
        </w:rPr>
      </w:pPr>
    </w:p>
    <w:p>
      <w:pPr>
        <w:ind w:left="1779"/>
        <w:spacing w:after="0"/>
        <w:rPr>
          <w:sz w:val="20"/>
          <w:szCs w:val="20"/>
          <w:color w:val="auto"/>
        </w:rPr>
      </w:pPr>
      <w:r>
        <w:rPr>
          <w:rFonts w:ascii="Times New Roman" w:cs="Times New Roman" w:eastAsia="Times New Roman" w:hAnsi="Times New Roman"/>
          <w:sz w:val="18"/>
          <w:szCs w:val="18"/>
          <w:color w:val="auto"/>
        </w:rPr>
        <w:t>San Francisco, California 94104</w:t>
      </w:r>
    </w:p>
    <w:p>
      <w:pPr>
        <w:spacing w:after="0" w:line="9" w:lineRule="exact"/>
        <w:rPr>
          <w:sz w:val="20"/>
          <w:szCs w:val="20"/>
          <w:color w:val="auto"/>
        </w:rPr>
      </w:pPr>
    </w:p>
    <w:p>
      <w:pPr>
        <w:ind w:left="1779"/>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1779"/>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99" w:lineRule="exact"/>
        <w:rPr>
          <w:sz w:val="20"/>
          <w:szCs w:val="20"/>
          <w:color w:val="auto"/>
        </w:rPr>
      </w:pPr>
    </w:p>
    <w:p>
      <w:pPr>
        <w:ind w:left="1779"/>
        <w:spacing w:after="0"/>
        <w:rPr>
          <w:sz w:val="20"/>
          <w:szCs w:val="20"/>
          <w:color w:val="auto"/>
        </w:rPr>
      </w:pPr>
      <w:r>
        <w:rPr>
          <w:rFonts w:ascii="Times New Roman" w:cs="Times New Roman" w:eastAsia="Times New Roman" w:hAnsi="Times New Roman"/>
          <w:sz w:val="18"/>
          <w:szCs w:val="18"/>
          <w:color w:val="auto"/>
        </w:rPr>
        <w:t>With a copy to (which shall not constitute notice or service of process):</w:t>
      </w:r>
    </w:p>
    <w:p>
      <w:pPr>
        <w:spacing w:after="0" w:line="117" w:lineRule="exact"/>
        <w:rPr>
          <w:sz w:val="20"/>
          <w:szCs w:val="20"/>
          <w:color w:val="auto"/>
        </w:rPr>
      </w:pPr>
    </w:p>
    <w:p>
      <w:pPr>
        <w:ind w:left="1779"/>
        <w:spacing w:after="0"/>
        <w:rPr>
          <w:sz w:val="20"/>
          <w:szCs w:val="20"/>
          <w:color w:val="auto"/>
        </w:rPr>
      </w:pPr>
      <w:r>
        <w:rPr>
          <w:rFonts w:ascii="Times New Roman" w:cs="Times New Roman" w:eastAsia="Times New Roman" w:hAnsi="Times New Roman"/>
          <w:sz w:val="18"/>
          <w:szCs w:val="18"/>
          <w:color w:val="auto"/>
        </w:rPr>
        <w:t>Donald C. Reinke, Esq.</w:t>
      </w:r>
    </w:p>
    <w:p>
      <w:pPr>
        <w:spacing w:after="0" w:line="27" w:lineRule="exact"/>
        <w:rPr>
          <w:sz w:val="20"/>
          <w:szCs w:val="20"/>
          <w:color w:val="auto"/>
        </w:rPr>
      </w:pPr>
    </w:p>
    <w:p>
      <w:pPr>
        <w:ind w:left="1779"/>
        <w:spacing w:after="0"/>
        <w:rPr>
          <w:sz w:val="20"/>
          <w:szCs w:val="20"/>
          <w:color w:val="auto"/>
        </w:rPr>
      </w:pPr>
      <w:r>
        <w:rPr>
          <w:rFonts w:ascii="Times New Roman" w:cs="Times New Roman" w:eastAsia="Times New Roman" w:hAnsi="Times New Roman"/>
          <w:sz w:val="18"/>
          <w:szCs w:val="18"/>
          <w:color w:val="auto"/>
        </w:rPr>
        <w:t>Reed Smith LLP</w:t>
      </w:r>
    </w:p>
    <w:p>
      <w:pPr>
        <w:spacing w:after="0" w:line="9" w:lineRule="exact"/>
        <w:rPr>
          <w:sz w:val="20"/>
          <w:szCs w:val="20"/>
          <w:color w:val="auto"/>
        </w:rPr>
      </w:pPr>
    </w:p>
    <w:p>
      <w:pPr>
        <w:ind w:left="1779"/>
        <w:spacing w:after="0"/>
        <w:rPr>
          <w:sz w:val="20"/>
          <w:szCs w:val="20"/>
          <w:color w:val="auto"/>
        </w:rPr>
      </w:pPr>
      <w:r>
        <w:rPr>
          <w:rFonts w:ascii="Times New Roman" w:cs="Times New Roman" w:eastAsia="Times New Roman" w:hAnsi="Times New Roman"/>
          <w:sz w:val="18"/>
          <w:szCs w:val="18"/>
          <w:color w:val="auto"/>
        </w:rPr>
        <w:t>1841 Page Mill Road, Suite 110</w:t>
      </w:r>
    </w:p>
    <w:p>
      <w:pPr>
        <w:spacing w:after="0" w:line="9" w:lineRule="exact"/>
        <w:rPr>
          <w:sz w:val="20"/>
          <w:szCs w:val="20"/>
          <w:color w:val="auto"/>
        </w:rPr>
      </w:pPr>
    </w:p>
    <w:p>
      <w:pPr>
        <w:ind w:left="1779"/>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9" w:lineRule="exact"/>
        <w:rPr>
          <w:sz w:val="20"/>
          <w:szCs w:val="20"/>
          <w:color w:val="auto"/>
        </w:rPr>
      </w:pPr>
    </w:p>
    <w:p>
      <w:pPr>
        <w:ind w:left="1779"/>
        <w:spacing w:after="0"/>
        <w:rPr>
          <w:sz w:val="20"/>
          <w:szCs w:val="20"/>
          <w:color w:val="auto"/>
        </w:rPr>
      </w:pPr>
      <w:r>
        <w:rPr>
          <w:rFonts w:ascii="Times New Roman" w:cs="Times New Roman" w:eastAsia="Times New Roman" w:hAnsi="Times New Roman"/>
          <w:sz w:val="18"/>
          <w:szCs w:val="18"/>
          <w:color w:val="auto"/>
        </w:rPr>
        <w:t>E-mail: DReinke@ReedSmith.com</w:t>
      </w:r>
    </w:p>
    <w:p>
      <w:pPr>
        <w:spacing w:after="0" w:line="99" w:lineRule="exact"/>
        <w:rPr>
          <w:sz w:val="20"/>
          <w:szCs w:val="20"/>
          <w:color w:val="auto"/>
        </w:rPr>
      </w:pPr>
    </w:p>
    <w:p>
      <w:pPr>
        <w:ind w:left="1779"/>
        <w:spacing w:after="0"/>
        <w:rPr>
          <w:sz w:val="20"/>
          <w:szCs w:val="20"/>
          <w:color w:val="auto"/>
        </w:rPr>
      </w:pPr>
      <w:r>
        <w:rPr>
          <w:rFonts w:ascii="Times New Roman" w:cs="Times New Roman" w:eastAsia="Times New Roman" w:hAnsi="Times New Roman"/>
          <w:sz w:val="18"/>
          <w:szCs w:val="18"/>
          <w:u w:val="single" w:color="auto"/>
          <w:color w:val="auto"/>
        </w:rPr>
        <w:t>If to the Investor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779"/>
        <w:spacing w:after="0"/>
        <w:rPr>
          <w:sz w:val="20"/>
          <w:szCs w:val="20"/>
          <w:color w:val="auto"/>
        </w:rPr>
      </w:pPr>
      <w:r>
        <w:rPr>
          <w:rFonts w:ascii="Times New Roman" w:cs="Times New Roman" w:eastAsia="Times New Roman" w:hAnsi="Times New Roman"/>
          <w:sz w:val="18"/>
          <w:szCs w:val="18"/>
          <w:color w:val="auto"/>
        </w:rPr>
        <w:t>C/M Capital Master Fund, LP</w:t>
      </w:r>
    </w:p>
    <w:p>
      <w:pPr>
        <w:spacing w:after="0" w:line="27" w:lineRule="exact"/>
        <w:rPr>
          <w:sz w:val="20"/>
          <w:szCs w:val="20"/>
          <w:color w:val="auto"/>
        </w:rPr>
      </w:pPr>
    </w:p>
    <w:p>
      <w:pPr>
        <w:ind w:left="1779"/>
        <w:spacing w:after="0"/>
        <w:rPr>
          <w:sz w:val="20"/>
          <w:szCs w:val="20"/>
          <w:color w:val="auto"/>
        </w:rPr>
      </w:pPr>
      <w:r>
        <w:rPr>
          <w:rFonts w:ascii="Times New Roman" w:cs="Times New Roman" w:eastAsia="Times New Roman" w:hAnsi="Times New Roman"/>
          <w:sz w:val="18"/>
          <w:szCs w:val="18"/>
          <w:color w:val="auto"/>
        </w:rPr>
        <w:t>1111 Brickell Avenue</w:t>
      </w:r>
    </w:p>
    <w:p>
      <w:pPr>
        <w:spacing w:after="0" w:line="9" w:lineRule="exact"/>
        <w:rPr>
          <w:sz w:val="20"/>
          <w:szCs w:val="20"/>
          <w:color w:val="auto"/>
        </w:rPr>
      </w:pPr>
    </w:p>
    <w:p>
      <w:pPr>
        <w:ind w:left="1779"/>
        <w:spacing w:after="0"/>
        <w:rPr>
          <w:sz w:val="20"/>
          <w:szCs w:val="20"/>
          <w:color w:val="auto"/>
        </w:rPr>
      </w:pPr>
      <w:r>
        <w:rPr>
          <w:rFonts w:ascii="Times New Roman" w:cs="Times New Roman" w:eastAsia="Times New Roman" w:hAnsi="Times New Roman"/>
          <w:sz w:val="18"/>
          <w:szCs w:val="18"/>
          <w:color w:val="auto"/>
        </w:rPr>
        <w:t>Suite 2920</w:t>
      </w:r>
    </w:p>
    <w:p>
      <w:pPr>
        <w:spacing w:after="0" w:line="9" w:lineRule="exact"/>
        <w:rPr>
          <w:sz w:val="20"/>
          <w:szCs w:val="20"/>
          <w:color w:val="auto"/>
        </w:rPr>
      </w:pPr>
    </w:p>
    <w:p>
      <w:pPr>
        <w:ind w:left="1779"/>
        <w:spacing w:after="0"/>
        <w:rPr>
          <w:sz w:val="20"/>
          <w:szCs w:val="20"/>
          <w:color w:val="auto"/>
        </w:rPr>
      </w:pPr>
      <w:r>
        <w:rPr>
          <w:rFonts w:ascii="Times New Roman" w:cs="Times New Roman" w:eastAsia="Times New Roman" w:hAnsi="Times New Roman"/>
          <w:sz w:val="18"/>
          <w:szCs w:val="18"/>
          <w:color w:val="auto"/>
        </w:rPr>
        <w:t>Miami, Florida 33131</w:t>
      </w:r>
    </w:p>
    <w:p>
      <w:pPr>
        <w:spacing w:after="0" w:line="9" w:lineRule="exact"/>
        <w:rPr>
          <w:sz w:val="20"/>
          <w:szCs w:val="20"/>
          <w:color w:val="auto"/>
        </w:rPr>
      </w:pPr>
    </w:p>
    <w:p>
      <w:pPr>
        <w:ind w:left="1779"/>
        <w:spacing w:after="0"/>
        <w:rPr>
          <w:sz w:val="20"/>
          <w:szCs w:val="20"/>
          <w:color w:val="auto"/>
        </w:rPr>
      </w:pPr>
      <w:r>
        <w:rPr>
          <w:rFonts w:ascii="Times New Roman" w:cs="Times New Roman" w:eastAsia="Times New Roman" w:hAnsi="Times New Roman"/>
          <w:sz w:val="18"/>
          <w:szCs w:val="18"/>
          <w:color w:val="auto"/>
        </w:rPr>
        <w:t>E-mail:    thomas@cm-funds.com/jonathan@cm-funds.com</w:t>
      </w:r>
    </w:p>
    <w:p>
      <w:pPr>
        <w:spacing w:after="0" w:line="9" w:lineRule="exact"/>
        <w:rPr>
          <w:sz w:val="20"/>
          <w:szCs w:val="20"/>
          <w:color w:val="auto"/>
        </w:rPr>
      </w:pPr>
    </w:p>
    <w:p>
      <w:pPr>
        <w:ind w:left="1779"/>
        <w:spacing w:after="0"/>
        <w:rPr>
          <w:sz w:val="20"/>
          <w:szCs w:val="20"/>
          <w:color w:val="auto"/>
        </w:rPr>
      </w:pPr>
      <w:r>
        <w:rPr>
          <w:rFonts w:ascii="Times New Roman" w:cs="Times New Roman" w:eastAsia="Times New Roman" w:hAnsi="Times New Roman"/>
          <w:sz w:val="18"/>
          <w:szCs w:val="18"/>
          <w:color w:val="auto"/>
        </w:rPr>
        <w:t>Attention: Thomas Walsh/Jonathan Juchno</w:t>
      </w:r>
    </w:p>
    <w:p>
      <w:pPr>
        <w:spacing w:after="0" w:line="99" w:lineRule="exact"/>
        <w:rPr>
          <w:sz w:val="20"/>
          <w:szCs w:val="20"/>
          <w:color w:val="auto"/>
        </w:rPr>
      </w:pPr>
    </w:p>
    <w:p>
      <w:pPr>
        <w:ind w:left="1779"/>
        <w:spacing w:after="0"/>
        <w:rPr>
          <w:sz w:val="20"/>
          <w:szCs w:val="20"/>
          <w:color w:val="auto"/>
        </w:rPr>
      </w:pPr>
      <w:r>
        <w:rPr>
          <w:rFonts w:ascii="Times New Roman" w:cs="Times New Roman" w:eastAsia="Times New Roman" w:hAnsi="Times New Roman"/>
          <w:sz w:val="18"/>
          <w:szCs w:val="18"/>
          <w:color w:val="auto"/>
        </w:rPr>
        <w:t>With a copy to (which shall not constitute notice or service of process):</w:t>
      </w:r>
    </w:p>
    <w:p>
      <w:pPr>
        <w:spacing w:after="0" w:line="117" w:lineRule="exact"/>
        <w:rPr>
          <w:sz w:val="20"/>
          <w:szCs w:val="20"/>
          <w:color w:val="auto"/>
        </w:rPr>
      </w:pPr>
    </w:p>
    <w:p>
      <w:pPr>
        <w:ind w:left="1779"/>
        <w:spacing w:after="0"/>
        <w:rPr>
          <w:sz w:val="20"/>
          <w:szCs w:val="20"/>
          <w:color w:val="auto"/>
        </w:rPr>
      </w:pPr>
      <w:r>
        <w:rPr>
          <w:rFonts w:ascii="Times New Roman" w:cs="Times New Roman" w:eastAsia="Times New Roman" w:hAnsi="Times New Roman"/>
          <w:sz w:val="18"/>
          <w:szCs w:val="18"/>
          <w:color w:val="auto"/>
        </w:rPr>
        <w:t>Pryor Cashman LLP</w:t>
      </w:r>
    </w:p>
    <w:p>
      <w:pPr>
        <w:spacing w:after="0" w:line="27" w:lineRule="exact"/>
        <w:rPr>
          <w:sz w:val="20"/>
          <w:szCs w:val="20"/>
          <w:color w:val="auto"/>
        </w:rPr>
      </w:pPr>
    </w:p>
    <w:p>
      <w:pPr>
        <w:ind w:left="1779"/>
        <w:spacing w:after="0"/>
        <w:rPr>
          <w:sz w:val="20"/>
          <w:szCs w:val="20"/>
          <w:color w:val="auto"/>
        </w:rPr>
      </w:pPr>
      <w:r>
        <w:rPr>
          <w:rFonts w:ascii="Times New Roman" w:cs="Times New Roman" w:eastAsia="Times New Roman" w:hAnsi="Times New Roman"/>
          <w:sz w:val="18"/>
          <w:szCs w:val="18"/>
          <w:color w:val="auto"/>
        </w:rPr>
        <w:t>7 Times Square</w:t>
      </w:r>
    </w:p>
    <w:p>
      <w:pPr>
        <w:spacing w:after="0" w:line="9" w:lineRule="exact"/>
        <w:rPr>
          <w:sz w:val="20"/>
          <w:szCs w:val="20"/>
          <w:color w:val="auto"/>
        </w:rPr>
      </w:pPr>
    </w:p>
    <w:p>
      <w:pPr>
        <w:ind w:left="1779"/>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1779"/>
        <w:spacing w:after="0"/>
        <w:rPr>
          <w:sz w:val="20"/>
          <w:szCs w:val="20"/>
          <w:color w:val="auto"/>
        </w:rPr>
      </w:pPr>
      <w:r>
        <w:rPr>
          <w:rFonts w:ascii="Times New Roman" w:cs="Times New Roman" w:eastAsia="Times New Roman" w:hAnsi="Times New Roman"/>
          <w:sz w:val="18"/>
          <w:szCs w:val="18"/>
          <w:color w:val="auto"/>
        </w:rPr>
        <w:t>Attention: M. Ali Panjwani, Esq.</w:t>
      </w:r>
    </w:p>
    <w:p>
      <w:pPr>
        <w:spacing w:after="0" w:line="9" w:lineRule="exact"/>
        <w:rPr>
          <w:sz w:val="20"/>
          <w:szCs w:val="20"/>
          <w:color w:val="auto"/>
        </w:rPr>
      </w:pPr>
    </w:p>
    <w:p>
      <w:pPr>
        <w:ind w:left="1779"/>
        <w:spacing w:after="0"/>
        <w:rPr>
          <w:sz w:val="20"/>
          <w:szCs w:val="20"/>
          <w:color w:val="auto"/>
        </w:rPr>
      </w:pPr>
      <w:r>
        <w:rPr>
          <w:rFonts w:ascii="Times New Roman" w:cs="Times New Roman" w:eastAsia="Times New Roman" w:hAnsi="Times New Roman"/>
          <w:sz w:val="18"/>
          <w:szCs w:val="18"/>
          <w:color w:val="auto"/>
        </w:rPr>
        <w:t>E-mail:    ali.panjwani@pryorcashman.com</w:t>
      </w:r>
    </w:p>
    <w:p>
      <w:pPr>
        <w:spacing w:after="0" w:line="99" w:lineRule="exact"/>
        <w:rPr>
          <w:sz w:val="20"/>
          <w:szCs w:val="20"/>
          <w:color w:val="auto"/>
        </w:rPr>
      </w:pPr>
    </w:p>
    <w:p>
      <w:pPr>
        <w:ind w:left="1779"/>
        <w:spacing w:after="0"/>
        <w:rPr>
          <w:sz w:val="20"/>
          <w:szCs w:val="20"/>
          <w:color w:val="auto"/>
        </w:rPr>
      </w:pPr>
      <w:r>
        <w:rPr>
          <w:rFonts w:ascii="Times New Roman" w:cs="Times New Roman" w:eastAsia="Times New Roman" w:hAnsi="Times New Roman"/>
          <w:sz w:val="18"/>
          <w:szCs w:val="18"/>
          <w:u w:val="single" w:color="auto"/>
          <w:color w:val="auto"/>
        </w:rPr>
        <w:t>If to the Transfer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779"/>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779"/>
        <w:spacing w:after="0"/>
        <w:rPr>
          <w:sz w:val="20"/>
          <w:szCs w:val="20"/>
          <w:color w:val="auto"/>
        </w:rPr>
      </w:pPr>
      <w:r>
        <w:rPr>
          <w:rFonts w:ascii="Times New Roman" w:cs="Times New Roman" w:eastAsia="Times New Roman" w:hAnsi="Times New Roman"/>
          <w:sz w:val="18"/>
          <w:szCs w:val="18"/>
          <w:color w:val="auto"/>
        </w:rPr>
        <w:t>Attention: ________</w:t>
      </w:r>
    </w:p>
    <w:p>
      <w:pPr>
        <w:spacing w:after="0" w:line="9" w:lineRule="exact"/>
        <w:rPr>
          <w:sz w:val="20"/>
          <w:szCs w:val="20"/>
          <w:color w:val="auto"/>
        </w:rPr>
      </w:pPr>
    </w:p>
    <w:p>
      <w:pPr>
        <w:ind w:left="1779"/>
        <w:spacing w:after="0"/>
        <w:rPr>
          <w:sz w:val="20"/>
          <w:szCs w:val="20"/>
          <w:color w:val="auto"/>
        </w:rPr>
      </w:pPr>
      <w:r>
        <w:rPr>
          <w:rFonts w:ascii="Times New Roman" w:cs="Times New Roman" w:eastAsia="Times New Roman" w:hAnsi="Times New Roman"/>
          <w:sz w:val="18"/>
          <w:szCs w:val="18"/>
          <w:color w:val="auto"/>
        </w:rPr>
        <w:t>Email: ___________</w:t>
      </w:r>
    </w:p>
    <w:p>
      <w:pPr>
        <w:spacing w:after="0" w:line="139"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9999"/>
          </w:cols>
          <w:pgMar w:left="1421" w:top="270" w:right="479" w:bottom="1440" w:gutter="0" w:footer="0" w:header="0"/>
        </w:sectPr>
      </w:pPr>
    </w:p>
    <w:bookmarkStart w:id="183" w:name="page184"/>
    <w:bookmarkEnd w:id="183"/>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to such other mailing address and/or e-mail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e-mail containing the time, date and recipient’s e-mail or (C) provided by an overnight courier service shall be rebuttable evidence of personal service, receipt by e-mail or receipt from an overnight courier service in accordance with clause (i), (ii) or (iii) above, respectively.</w:t>
      </w:r>
    </w:p>
    <w:p>
      <w:pPr>
        <w:spacing w:after="0" w:line="89" w:lineRule="exact"/>
        <w:rPr>
          <w:sz w:val="20"/>
          <w:szCs w:val="20"/>
          <w:color w:val="auto"/>
        </w:rPr>
      </w:pPr>
    </w:p>
    <w:p>
      <w:pPr>
        <w:ind w:left="1420" w:right="40" w:hanging="439"/>
        <w:spacing w:after="0" w:line="258" w:lineRule="auto"/>
        <w:tabs>
          <w:tab w:leader="none" w:pos="14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respective successors and assigns, including any purchasers of any of the Preferred Shares. The Company shall not assign this Agreement or any rights or obligations hereunder without the prior written consent of the Buyer. A Buyer may assign some or all of its rights hereunder in connection with any transfer of any of its Securities without the consent of the Company, in which event such assignee shall be deemed to be a Buyer hereunder with respect to such assigned rights.</w:t>
      </w:r>
    </w:p>
    <w:p>
      <w:pPr>
        <w:spacing w:after="0" w:line="88" w:lineRule="exact"/>
        <w:rPr>
          <w:rFonts w:ascii="Times New Roman" w:cs="Times New Roman" w:eastAsia="Times New Roman" w:hAnsi="Times New Roman"/>
          <w:sz w:val="18"/>
          <w:szCs w:val="18"/>
          <w:color w:val="auto"/>
        </w:rPr>
      </w:pPr>
    </w:p>
    <w:p>
      <w:pPr>
        <w:ind w:left="1420" w:right="180" w:hanging="439"/>
        <w:spacing w:after="0" w:line="266" w:lineRule="auto"/>
        <w:tabs>
          <w:tab w:leader="none" w:pos="14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is intended for the benefit of the parties hereto and their respective permitted successors and assigns, and is not for the benefit of, nor may any provision hereof be enforced by, any other Person, other than the Indemnitees referred to in Section 9(k).</w:t>
      </w:r>
    </w:p>
    <w:p>
      <w:pPr>
        <w:spacing w:after="0" w:line="81" w:lineRule="exact"/>
        <w:rPr>
          <w:rFonts w:ascii="Times New Roman" w:cs="Times New Roman" w:eastAsia="Times New Roman" w:hAnsi="Times New Roman"/>
          <w:sz w:val="18"/>
          <w:szCs w:val="18"/>
          <w:color w:val="auto"/>
        </w:rPr>
      </w:pPr>
    </w:p>
    <w:p>
      <w:pPr>
        <w:ind w:left="1420" w:right="120" w:hanging="439"/>
        <w:spacing w:after="0" w:line="282" w:lineRule="auto"/>
        <w:tabs>
          <w:tab w:leader="none" w:pos="14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warranties, agreements and covenants shall survive the Closing. The Buyer shall be responsible only for its own representations, warranties, agreements and covenants hereunder.</w:t>
      </w:r>
    </w:p>
    <w:p>
      <w:pPr>
        <w:spacing w:after="0" w:line="67" w:lineRule="exact"/>
        <w:rPr>
          <w:rFonts w:ascii="Times New Roman" w:cs="Times New Roman" w:eastAsia="Times New Roman" w:hAnsi="Times New Roman"/>
          <w:sz w:val="18"/>
          <w:szCs w:val="18"/>
          <w:color w:val="auto"/>
        </w:rPr>
      </w:pPr>
    </w:p>
    <w:p>
      <w:pPr>
        <w:ind w:left="1420" w:right="40" w:hanging="439"/>
        <w:spacing w:after="0" w:line="261" w:lineRule="auto"/>
        <w:tabs>
          <w:tab w:leader="none" w:pos="14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85" w:lineRule="exact"/>
        <w:rPr>
          <w:rFonts w:ascii="Times New Roman" w:cs="Times New Roman" w:eastAsia="Times New Roman" w:hAnsi="Times New Roman"/>
          <w:sz w:val="18"/>
          <w:szCs w:val="18"/>
          <w:color w:val="auto"/>
        </w:rPr>
      </w:pPr>
    </w:p>
    <w:p>
      <w:pPr>
        <w:ind w:left="1420" w:hanging="439"/>
        <w:spacing w:after="0" w:line="253" w:lineRule="auto"/>
        <w:tabs>
          <w:tab w:leader="none" w:pos="14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In consideration of the Buyer’s execution and delivery of the Transaction Documents and acquiring the Securities thereunder and in addition to all of the Company’s other obligations under the Transaction Documents, the Company shall defend, protect, indemnify and hold harmless the Buyer and all of its stockholders, partners, members, officers, directors, employees and any of the foregoing Persons’ agents or other representatives (including, without limitation, those retained in connection with the transactions contemplated by this Agreement) (collectively, the “</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 incurred by any Indemnitee as a result of, or arising out of, or relating to (i) any misrepresentation or breach of any representation or warranty made by the Company or any Subsidiary in any of the Transaction Documents, (ii) any breach of any covenant, agreement or obligation of the Company or any Subsidiary contained in any of the Transaction Documents or (iii) any cause of action, suit, proceeding or claim brought or made against such Indemnitee by a third party (including for these purposes a derivative action brought on behalf of the Company or any Subsidiary) or which otherwise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440" w:top="270" w:right="479" w:bottom="1440" w:gutter="0" w:footer="0" w:header="0"/>
        </w:sectPr>
      </w:pPr>
    </w:p>
    <w:bookmarkStart w:id="184" w:name="page185"/>
    <w:bookmarkEnd w:id="184"/>
    <w:p>
      <w:pPr>
        <w:ind w:left="439"/>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involves such Indemnitee that arises out of or results from (A) the execution, delivery, performance or enforcement of any of the Transaction Documents, (B) any transaction financed or to be financed in whole or in part, directly or indirectly, with the proceeds of the issuance of the Securities, (C) any disclosure properly made by the Buyer pursuant to Section 4(i), or (D) the status of the Buyer or holder of the Securities either as an investor in the Company pursuant to the transactions contemplated by the Transaction Documents or as a party to this Agreement (including, without limitation, as a party in interest or otherwise in any action or proceeding for injunctive or other equitable relief). To the extent that the foregoing undertaking by the Company may be unenforceable for any reason, the Company shall make the maximum contribution to the payment and satisfaction of each of the Indemnified Liabilities which is permissible under applicable law. Except as otherwise set forth herein, the mechanics and procedures with respect to the rights and obligations under this Section 9(k) shall be the same as those set forth in Section 6 of the Registration Rights Agreement.</w:t>
      </w:r>
    </w:p>
    <w:p>
      <w:pPr>
        <w:spacing w:after="0" w:line="100" w:lineRule="exact"/>
        <w:rPr>
          <w:sz w:val="20"/>
          <w:szCs w:val="20"/>
          <w:color w:val="auto"/>
        </w:rPr>
      </w:pPr>
    </w:p>
    <w:p>
      <w:pPr>
        <w:ind w:left="439" w:right="160" w:hanging="439"/>
        <w:spacing w:after="0" w:line="253" w:lineRule="auto"/>
        <w:tabs>
          <w:tab w:leader="none" w:pos="43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rules of strict construction will be applied against any party. No specific representation or warranty shall limit the generality or applicability of a more general representation or warranty, except to the extent of any direct conflict between them, in which case the more specific provision shall control. Each and every reference to share prices, shares of Common Stock and any other numbers in this Agreement that relate to the Common Stock shall be automatically adjusted for any stock splits, stock dividends, stock combinations, recapitalizations or other similar transactions that occur with respect to the Common Stock after the date of this Agreement. Notwithstanding anything in this Agreement to the contrary, for the avoidance of doubt, nothing contained herein shall constitute a representation or warranty against, or a prohibition of, any actions with respect to the borrowing of, arrangement to borrow, identification of the availability of, and/or securing of, securities of the Company in order for the Buyer (or its broker or other financial representative) to effect short sales or similar transactions in the future.</w:t>
      </w:r>
    </w:p>
    <w:p>
      <w:pPr>
        <w:spacing w:after="0" w:line="99" w:lineRule="exact"/>
        <w:rPr>
          <w:rFonts w:ascii="Times New Roman" w:cs="Times New Roman" w:eastAsia="Times New Roman" w:hAnsi="Times New Roman"/>
          <w:sz w:val="18"/>
          <w:szCs w:val="18"/>
          <w:color w:val="auto"/>
        </w:rPr>
      </w:pPr>
    </w:p>
    <w:p>
      <w:pPr>
        <w:ind w:left="439" w:right="20" w:hanging="439"/>
        <w:spacing w:after="0" w:line="253" w:lineRule="auto"/>
        <w:tabs>
          <w:tab w:leader="none" w:pos="43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Buyer and in the event of assignment by Buyer of its rights and obligations hereunder, each holder of Securities, shall have all rights and remedies set forth in the Transaction Documents and all rights and remedies which such holders have been granted at any time under any other agreement or contract and all of the rights which such holders have under any law.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 Furthermore, the Company recognizes that in the event that it or any Subsidiary fails to perform, observe, or discharge any or all of its or such Subsidiary’s (as the case may be) obligations under the Transaction Documents, any remedy at law would inadequate relief to the Buyer. The Company therefore agrees that the Buyer shall be entitled to specific performance and/or temporary, preliminary and permanent injunctive or other equitable relief from any court of competent jurisdiction in any such case without the necessity of proving actual damages and without posting a bond or other security. The remedies provided in this Agreement and the other Transaction Documents shall be cumulative and in addition to all other remedies available under this Agreement and the other Transaction Documents, at law or in equity (including a decree of specific performance and/or other injunctive relief).</w:t>
      </w:r>
    </w:p>
    <w:p>
      <w:pPr>
        <w:spacing w:after="0" w:line="120"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039"/>
          </w:cols>
          <w:pgMar w:left="1421" w:top="270" w:right="439" w:bottom="1440" w:gutter="0" w:footer="0" w:header="0"/>
        </w:sectPr>
      </w:pPr>
    </w:p>
    <w:bookmarkStart w:id="185" w:name="page186"/>
    <w:bookmarkEnd w:id="185"/>
    <w:p>
      <w:pPr>
        <w:ind w:left="440" w:hanging="439"/>
        <w:spacing w:after="0" w:line="258" w:lineRule="auto"/>
        <w:tabs>
          <w:tab w:leader="none" w:pos="4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Withdrawal Right</w:t>
      </w:r>
      <w:r>
        <w:rPr>
          <w:rFonts w:ascii="Times New Roman" w:cs="Times New Roman" w:eastAsia="Times New Roman" w:hAnsi="Times New Roman"/>
          <w:sz w:val="18"/>
          <w:szCs w:val="18"/>
          <w:color w:val="auto"/>
        </w:rPr>
        <w:t>. Notwithstanding anything to the contrary contained in (and without limiting any similar provisions of) the Transaction Documents, whenever the Buyer exercises a right, election, demand or option under a Transaction Document and the Company or any Subsidiary does not timely perform its related obligations within the periods therein provided, then the Buyer may rescind or withdraw, in its sole discretion from time to time upon written notice to the Company or such Subsidiary (as the case may be), any relevant notice, demand or election in whole or in part without prejudice to its future actions and rights.</w:t>
      </w:r>
    </w:p>
    <w:p>
      <w:pPr>
        <w:spacing w:after="0" w:line="181"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9960"/>
          </w:cols>
          <w:pgMar w:left="1420" w:top="270" w:right="519" w:bottom="1440" w:gutter="0" w:footer="0" w:header="0"/>
        </w:sectPr>
      </w:pPr>
    </w:p>
    <w:bookmarkStart w:id="186" w:name="page187"/>
    <w:bookmarkEnd w:id="186"/>
    <w:p>
      <w:pPr>
        <w:ind w:left="662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JAGUAR HEALTH, INC.</w:t>
      </w:r>
    </w:p>
    <w:p>
      <w:pPr>
        <w:spacing w:after="0" w:line="22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17145</wp:posOffset>
            </wp:positionV>
            <wp:extent cx="242570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291465</wp:posOffset>
            </wp:positionV>
            <wp:extent cx="27946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-121920</wp:posOffset>
            </wp:positionV>
            <wp:extent cx="24257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425700" cy="8255"/>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22860</wp:posOffset>
            </wp:positionV>
            <wp:extent cx="24257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8" w:lineRule="exact"/>
        <w:rPr>
          <w:sz w:val="20"/>
          <w:szCs w:val="20"/>
          <w:color w:val="auto"/>
        </w:rPr>
      </w:pPr>
    </w:p>
    <w:p>
      <w:pPr>
        <w:jc w:val="both"/>
        <w:ind w:left="6624"/>
        <w:spacing w:after="0"/>
        <w:tabs>
          <w:tab w:leader="none" w:pos="7184"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SUBSCRIPTION AMOUNTS</w:t>
      </w:r>
    </w:p>
    <w:p>
      <w:pPr>
        <w:spacing w:after="0" w:line="121" w:lineRule="exact"/>
        <w:rPr>
          <w:sz w:val="20"/>
          <w:szCs w:val="20"/>
          <w:color w:val="auto"/>
        </w:rPr>
      </w:pPr>
    </w:p>
    <w:p>
      <w:pPr>
        <w:ind w:left="144" w:hanging="144"/>
        <w:spacing w:after="0"/>
        <w:tabs>
          <w:tab w:leader="none" w:pos="14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Shares of Series P Preferred Stock: _______</w:t>
      </w:r>
    </w:p>
    <w:p>
      <w:pPr>
        <w:spacing w:after="0" w:line="22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Purchase Price: $___________</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023"/>
          </w:cols>
          <w:pgMar w:left="436" w:top="270" w:right="1440"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jc w:val="both"/>
        <w:ind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REGISTRATION RIGHTS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June 9, 2026 (the “</w:t>
      </w:r>
      <w:r>
        <w:rPr>
          <w:rFonts w:ascii="Times New Roman" w:cs="Times New Roman" w:eastAsia="Times New Roman" w:hAnsi="Times New Roman"/>
          <w:sz w:val="18"/>
          <w:szCs w:val="18"/>
          <w:u w:val="single" w:color="auto"/>
          <w:color w:val="auto"/>
        </w:rPr>
        <w:t>Execution Date</w:t>
      </w:r>
      <w:r>
        <w:rPr>
          <w:rFonts w:ascii="Times New Roman" w:cs="Times New Roman" w:eastAsia="Times New Roman" w:hAnsi="Times New Roman"/>
          <w:sz w:val="18"/>
          <w:szCs w:val="18"/>
          <w:color w:val="auto"/>
        </w:rPr>
        <w:t>”), is entered into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Jaguar Health,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accredited investor named on the signature page to this Agreement (the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Capitalized terms used herein and not otherwise defined herein shall have the respective meanings set forth in the Preferred Stock Purchase Agreement by and between the parties hereto, dated as of the Execution Date (as amended, restated, supplemented or otherwise modified from time to time,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jc w:val="both"/>
        <w:ind w:right="80" w:firstLine="440"/>
        <w:spacing w:after="0" w:line="289" w:lineRule="auto"/>
        <w:rPr>
          <w:sz w:val="20"/>
          <w:szCs w:val="20"/>
          <w:color w:val="auto"/>
        </w:rPr>
      </w:pPr>
      <w:r>
        <w:rPr>
          <w:rFonts w:ascii="Times New Roman" w:cs="Times New Roman" w:eastAsia="Times New Roman" w:hAnsi="Times New Roman"/>
          <w:sz w:val="17"/>
          <w:szCs w:val="17"/>
          <w:color w:val="auto"/>
        </w:rPr>
        <w:t>A. Upon the terms and subject to the conditions of the Purchase Agreement, the Company has agreed to issue to the Investor, and the Investor has agreed to purchase, up to $2,400,000 of the Company’s Series P Non-Convertible Preferred Stock pursuant to the Purchase Agreement (such shares, the “</w:t>
      </w:r>
      <w:r>
        <w:rPr>
          <w:rFonts w:ascii="Times New Roman" w:cs="Times New Roman" w:eastAsia="Times New Roman" w:hAnsi="Times New Roman"/>
          <w:sz w:val="17"/>
          <w:szCs w:val="17"/>
          <w:u w:val="single" w:color="auto"/>
          <w:color w:val="auto"/>
        </w:rPr>
        <w:t>Purchase Shares</w:t>
      </w:r>
      <w:r>
        <w:rPr>
          <w:rFonts w:ascii="Times New Roman" w:cs="Times New Roman" w:eastAsia="Times New Roman" w:hAnsi="Times New Roman"/>
          <w:sz w:val="17"/>
          <w:szCs w:val="17"/>
          <w:color w:val="auto"/>
        </w:rPr>
        <w:t>”), that are redeemable into shares of the Company’s common stock, par value $0.0001 per share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and</w:t>
      </w:r>
    </w:p>
    <w:p>
      <w:pPr>
        <w:spacing w:after="0" w:line="158"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B. To induce the Buyer to enter into the Purchase Agreement, the Company has agreed to provide certain registration rights under the Securities Act of 1933, as amended, and the rules and regulations thereunder, or any similar successor statute (collectively,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applicable state securities laws.</w:t>
      </w:r>
    </w:p>
    <w:p>
      <w:pPr>
        <w:spacing w:after="0" w:line="172" w:lineRule="exact"/>
        <w:rPr>
          <w:sz w:val="20"/>
          <w:szCs w:val="20"/>
          <w:color w:val="auto"/>
        </w:rPr>
      </w:pPr>
    </w:p>
    <w:p>
      <w:pPr>
        <w:ind w:right="28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NOW, THEREFORE, </w:t>
      </w:r>
      <w:r>
        <w:rPr>
          <w:rFonts w:ascii="Times New Roman" w:cs="Times New Roman" w:eastAsia="Times New Roman" w:hAnsi="Times New Roman"/>
          <w:sz w:val="17"/>
          <w:szCs w:val="17"/>
          <w:color w:val="auto"/>
        </w:rPr>
        <w:t>in consideration of the promises and the mutual covenants contained herein and other good and valuable consideration,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receipt and sufficiency of which are hereby acknowledged, the Company and the Buyer hereby, intending to be legally bound, agree as follows:</w:t>
      </w:r>
    </w:p>
    <w:p>
      <w:pPr>
        <w:spacing w:after="0" w:line="136" w:lineRule="exact"/>
        <w:rPr>
          <w:sz w:val="20"/>
          <w:szCs w:val="20"/>
          <w:color w:val="auto"/>
        </w:rPr>
      </w:pPr>
    </w:p>
    <w:p>
      <w:pPr>
        <w:ind w:left="620" w:hanging="184"/>
        <w:spacing w:after="0"/>
        <w:tabs>
          <w:tab w:leader="none" w:pos="6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used in this Agreement, the following terms shall have the following meanings:</w:t>
      </w:r>
    </w:p>
    <w:p>
      <w:pPr>
        <w:spacing w:after="0" w:line="117" w:lineRule="exact"/>
        <w:rPr>
          <w:sz w:val="20"/>
          <w:szCs w:val="20"/>
          <w:color w:val="auto"/>
        </w:rPr>
      </w:pPr>
    </w:p>
    <w:p>
      <w:pPr>
        <w:ind w:right="60" w:firstLine="991"/>
        <w:spacing w:after="0" w:line="289"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Investor</w:t>
      </w:r>
      <w:r>
        <w:rPr>
          <w:rFonts w:ascii="Times New Roman" w:cs="Times New Roman" w:eastAsia="Times New Roman" w:hAnsi="Times New Roman"/>
          <w:sz w:val="17"/>
          <w:szCs w:val="17"/>
          <w:color w:val="auto"/>
        </w:rPr>
        <w:t xml:space="preserve">” means the Buyer, any transferee or assignee thereof to whom the Buyer assigns its rights under this Agreement in accordance with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and who agrees to become bound by the provisions of this Agreement, and any transferee or assignee thereof to whom a transferee or assignee assigns its rights under this Agreement in accordance with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and who agrees to become bound by the provisions of this Agreement.</w:t>
      </w:r>
    </w:p>
    <w:p>
      <w:pPr>
        <w:spacing w:after="0" w:line="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Redemption Shares</w:t>
      </w:r>
      <w:r>
        <w:rPr>
          <w:rFonts w:ascii="Times New Roman" w:cs="Times New Roman" w:eastAsia="Times New Roman" w:hAnsi="Times New Roman"/>
          <w:sz w:val="18"/>
          <w:szCs w:val="18"/>
          <w:color w:val="auto"/>
        </w:rPr>
        <w:t>” means any and all shares of Common Stock issuable or issued pursuant to a redemption of the Purchase Shares.</w:t>
      </w:r>
    </w:p>
    <w:p>
      <w:pPr>
        <w:spacing w:after="0" w:line="117"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or entity including but not limited to any corporation, a limited liability company, an association, a partnership, an organization, a business, an individual, a governmental or political subdivision thereof or a governmental agency.</w:t>
      </w:r>
    </w:p>
    <w:p>
      <w:pPr>
        <w:spacing w:after="0" w:line="54"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refer to a registration effected by preparing and filing one or more Registration Statements of the Company in compliance with the Securities Act and pursuant to Rule 415 under the Securities Act or any successor rule providing for offering securities on a continuous basis (“</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and the declaration or ordering of effectiveness of such Registration Statement(s) by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188" w:name="page189"/>
    <w:bookmarkEnd w:id="188"/>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(i) all of the Redemption Shares that may, from time to time, be issued or become issuable to the Investor under the Purchase Agreement and its related Transaction Documents (as defined therein) (without regard to any limitation or restriction on purchases), (ii) the shares of Common Stock issued or issuable upon exercise of the Pre-Funded Warrants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and (iii) any and all shares of capital stock issued or issuable with respect to the Redemption Shares or Warrant Shares as a result of any stock split, stock dividend, recapitalization, exchange or similar event or otherwise, without regard to any limitation on purchases under the Purchase Agreement or the Transaction Documents (as defined therein).</w:t>
      </w:r>
    </w:p>
    <w:p>
      <w:pPr>
        <w:spacing w:after="0" w:line="79"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one or more registration statements of the Company covering only the resale of the Registrable Securities, including, for the avoidance of doubt, any New Registration Statement (as defined below).</w:t>
      </w:r>
    </w:p>
    <w:p>
      <w:pPr>
        <w:spacing w:after="0" w:line="162" w:lineRule="exact"/>
        <w:rPr>
          <w:sz w:val="20"/>
          <w:szCs w:val="20"/>
          <w:color w:val="auto"/>
        </w:rPr>
      </w:pPr>
    </w:p>
    <w:p>
      <w:pPr>
        <w:ind w:left="620" w:hanging="184"/>
        <w:spacing w:after="0"/>
        <w:tabs>
          <w:tab w:leader="none" w:pos="6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91"/>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Mandatory Registration.</w:t>
      </w:r>
      <w:r>
        <w:rPr>
          <w:rFonts w:ascii="Times New Roman" w:cs="Times New Roman" w:eastAsia="Times New Roman" w:hAnsi="Times New Roman"/>
          <w:sz w:val="18"/>
          <w:szCs w:val="18"/>
          <w:color w:val="auto"/>
        </w:rPr>
        <w:t xml:space="preserve"> The Company shall, within thirty (30) calendar days after the Execution Date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file with the SEC an initial Registration Statement on Form S-1 covering the maximum number of Registrable Securities as shall be permitted to be included thereon in accordance with applicable SEC rules, regulations and interpretations so as to permit the resale of such Registrable Securities by the Investor under Rule 415 under the Securities Act at then-prevailing market prices (and not fixed prices), as mutually determined by both the Company and the Investor in consultation with their respective legal counsel; provided, however, the Company may delay filing or suspend the use of any Registration Statement if the Company determines upon advice of legal counsel, that in order for the registration statement to not contain a material misstatement or omission, an amendment thereto would be needed, or if the board of directors of the Company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upon advice of legal counsel, reasonably believes that such filing or use would require premature disclosure of information that could materially adversely affect the Company; provided, however, that in the event the Investor owns Purchase Shares, Redemption Shares or Warrant Shares at the time of any such suspension of use of the registration statement, the Company shall use commercially reasonable efforts to make such registration statement available for the resale of such securities by the Investor as soon as practicable thereafter. The initial Registration Statement shall register only Registrable Securities. The Investor and its counsel shall have a reasonable opportunity to review and comment upon such Registration Statement and any amendment or supplement to such Registration Statement and any related prospectus prior to its filing with the SEC, and the Company shall give due consideration to all such comments. The Investor acknowledges that it will be identified in the initial Registration Statement (and in any New Registration Statement) as an underwriter within the meaning of Section 2(a)(11) of the Securities Act, and the Investor shall furnish all information reasonably requested by the Company for inclusion therein. The Company shall use its commercially reasonable efforts to have the Registration Statement and any amendment declared effective by the SEC at the earliest practicable date (the “</w:t>
      </w:r>
      <w:r>
        <w:rPr>
          <w:rFonts w:ascii="Times New Roman" w:cs="Times New Roman" w:eastAsia="Times New Roman" w:hAnsi="Times New Roman"/>
          <w:sz w:val="18"/>
          <w:szCs w:val="18"/>
          <w:u w:val="single" w:color="auto"/>
          <w:color w:val="auto"/>
        </w:rPr>
        <w:t>Effectiveness Deadline</w:t>
      </w:r>
      <w:r>
        <w:rPr>
          <w:rFonts w:ascii="Times New Roman" w:cs="Times New Roman" w:eastAsia="Times New Roman" w:hAnsi="Times New Roman"/>
          <w:sz w:val="18"/>
          <w:szCs w:val="18"/>
          <w:color w:val="auto"/>
        </w:rPr>
        <w:t>”). The Company shall use commercially reasonable efforts to keep the Registration Statement effective pursuant to Rule 415 promulgated under the Securities Act and available for the resale by the Investor of all of the Registrable Securities covered thereby at all times until the date on which the Investor shall have resold all the Registrable Securities covered thereby and no shares of Common Stock remain issuable under the Purchase Agreement (the “</w:t>
      </w:r>
      <w:r>
        <w:rPr>
          <w:rFonts w:ascii="Times New Roman" w:cs="Times New Roman" w:eastAsia="Times New Roman" w:hAnsi="Times New Roman"/>
          <w:sz w:val="18"/>
          <w:szCs w:val="18"/>
          <w:u w:val="single" w:color="auto"/>
          <w:color w:val="auto"/>
        </w:rPr>
        <w:t>Registration Period</w:t>
      </w:r>
      <w:r>
        <w:rPr>
          <w:rFonts w:ascii="Times New Roman" w:cs="Times New Roman" w:eastAsia="Times New Roman" w:hAnsi="Times New Roman"/>
          <w:sz w:val="18"/>
          <w:szCs w:val="18"/>
          <w:color w:val="auto"/>
        </w:rPr>
        <w:t>”). The effective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 Any time-based requirements set forth in this Agreement shall be extended to the next Business Day if the applicable time falls on a weekend or federal holiday.</w:t>
      </w:r>
    </w:p>
    <w:p>
      <w:pPr>
        <w:spacing w:after="0" w:line="1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189" w:name="page190"/>
    <w:bookmarkEnd w:id="189"/>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w:t>
      </w:r>
      <w:r>
        <w:rPr>
          <w:rFonts w:ascii="Times New Roman" w:cs="Times New Roman" w:eastAsia="Times New Roman" w:hAnsi="Times New Roman"/>
          <w:sz w:val="18"/>
          <w:szCs w:val="18"/>
          <w:u w:val="single" w:color="auto"/>
          <w:color w:val="auto"/>
        </w:rPr>
        <w:t>Rule 424 Prospectus</w:t>
      </w:r>
      <w:r>
        <w:rPr>
          <w:rFonts w:ascii="Times New Roman" w:cs="Times New Roman" w:eastAsia="Times New Roman" w:hAnsi="Times New Roman"/>
          <w:sz w:val="18"/>
          <w:szCs w:val="18"/>
          <w:color w:val="auto"/>
        </w:rPr>
        <w:t>. The Company shall, as required by applicable securities regulations, from time to time file with the SEC, pursuant to Rule 424 promulgated under the Securities Act, the prospectus and prospectus supplements, if any, to be used in connection with sales of the Registrable Securities under the Registration Statement. The Investor and its counsel shall have a reasonable opportunity to review and comment upon such prospectus prior to its filing with the SEC, and the Company shall give due consideration to all such comments. The Investor shall use its commercially reasonable efforts to comment upon such prospectus within one (1) Business Day from the date the Investor receives the substantially final pre-filing version of such prospectus.</w:t>
      </w:r>
    </w:p>
    <w:p>
      <w:pPr>
        <w:spacing w:after="0" w:line="79" w:lineRule="exact"/>
        <w:rPr>
          <w:sz w:val="20"/>
          <w:szCs w:val="20"/>
          <w:color w:val="auto"/>
        </w:rPr>
      </w:pPr>
    </w:p>
    <w:p>
      <w:pPr>
        <w:ind w:firstLine="991"/>
        <w:spacing w:after="0" w:line="274"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Sufficient Number of Shares Registered</w:t>
      </w:r>
      <w:r>
        <w:rPr>
          <w:rFonts w:ascii="Times New Roman" w:cs="Times New Roman" w:eastAsia="Times New Roman" w:hAnsi="Times New Roman"/>
          <w:sz w:val="17"/>
          <w:szCs w:val="17"/>
          <w:color w:val="auto"/>
        </w:rPr>
        <w:t>. In the event the number of shares of Common Stock available under the Registration Statement is insufficient to cover all of the Registrable Securities, the Company shall, to the extent necessary and permissible, amend the Registration Statement or file a new Registration Statement (a “</w:t>
      </w:r>
      <w:r>
        <w:rPr>
          <w:rFonts w:ascii="Times New Roman" w:cs="Times New Roman" w:eastAsia="Times New Roman" w:hAnsi="Times New Roman"/>
          <w:sz w:val="17"/>
          <w:szCs w:val="17"/>
          <w:u w:val="single" w:color="auto"/>
          <w:color w:val="auto"/>
        </w:rPr>
        <w:t>New Registration Statement</w:t>
      </w:r>
      <w:r>
        <w:rPr>
          <w:rFonts w:ascii="Times New Roman" w:cs="Times New Roman" w:eastAsia="Times New Roman" w:hAnsi="Times New Roman"/>
          <w:sz w:val="17"/>
          <w:szCs w:val="17"/>
          <w:color w:val="auto"/>
        </w:rPr>
        <w:t xml:space="preserve">”), so as to cover all of such Registrable Securities (subject to the limitations set forth in </w:t>
      </w:r>
      <w:r>
        <w:rPr>
          <w:rFonts w:ascii="Times New Roman" w:cs="Times New Roman" w:eastAsia="Times New Roman" w:hAnsi="Times New Roman"/>
          <w:sz w:val="17"/>
          <w:szCs w:val="17"/>
          <w:u w:val="single" w:color="auto"/>
          <w:color w:val="auto"/>
        </w:rPr>
        <w:t>Section 2(a)</w:t>
      </w:r>
      <w:r>
        <w:rPr>
          <w:rFonts w:ascii="Times New Roman" w:cs="Times New Roman" w:eastAsia="Times New Roman" w:hAnsi="Times New Roman"/>
          <w:sz w:val="17"/>
          <w:szCs w:val="17"/>
          <w:color w:val="auto"/>
        </w:rPr>
        <w:t>) as soon as reasonably practicable, but in any event not later than fifteen (15) Business Days after the necessity therefor arises, subject to any limits that may be imposed by the SEC pursuant to Rule 415 under the Securities Act. The Company shall use its commercially reasonable efforts to cause such amendment and/or New Registration Statement to become effective as soon as reasonably practicable following the filing thereof.</w:t>
      </w:r>
    </w:p>
    <w:p>
      <w:pPr>
        <w:spacing w:after="0" w:line="6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If the staff of the SEC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xml:space="preserve">”) or the SEC seeks to characterize any offering pursuant to a Registration Statement filed pursuant to this Agreement as constituting an offering of securities that does not permit such Registration Statement to become effective and be used for resales by the Investor under Rule 415 at then-prevailing market prices (and not fixed prices), or if after the filing of the initial Registration Statement with the SEC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the Company is otherwise required by the Staff or the SEC to reduce the number of Registrable Securities included in such initial Registration Statement, then the Company shall reduce the number of Registrable Securities to be included in such initial Registration Statement (after consulting with the Investor and its legal counsel as to the specific Registrable Securities to be removed therefrom) until such time as the Staff and the SEC shall so permit such Registration Statement to become effective and be used as aforesaid. In the event of any reduction in Registrable Securities pursuant to this paragraph, the Company shall file one or more New Registration Statements in accordance with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until such time as all Registrable Securities have been included in Registration Statements that have been declared effective and the prospectus contained therein is available for use by the Investor. Notwithstanding any provision herein or in the Purchase Agreement to the contrary, the Company’s obligations to register the Registrable Securities (and any related conditions to the Investor’s obligations) shall be qualified as necessary to comport with any requirement of the SEC or the Staff as addressed in this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620" w:hanging="184"/>
        <w:spacing w:after="0"/>
        <w:tabs>
          <w:tab w:leader="none" w:pos="6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With respect to the Registration Statement and whenever any Registrable Securities are to be registered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including on any New Registration Statement, the Company shall use its commercially reasonable efforts to effect the registration of the Registrable Securities in accordance with the intended method of disposition thereof and, pursuant thereto, the Company shall have the following obligations:</w:t>
      </w:r>
    </w:p>
    <w:p>
      <w:pPr>
        <w:spacing w:after="0" w:line="68"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a. The Company shall prepare and file with the SEC such amendments (including post-effective amendments) and supplements to any Registration Statement and the prospectus used in connection with such Registration Statement, which prospectus is to be filed pursuant to Rule 424 promulgated under the Securities Act, as may be necessary to keep the Registration Statement or any New Registration Statement effective at all times during the Registration Period, and, during such period, comply with the applicable provisions of the Securities Act with respect to the disposition of all Registrable Securities of the Company covered by the Registration Statement or any New Registration Statement until such time as all of such Registrable Securities shall have been disposed of in accordance with the intended methods of disposition by the seller or sellers thereof as set forth in such Registration Statement.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90" w:name="page191"/>
    <w:bookmarkEnd w:id="190"/>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The Company shall permit the Investor to review and comment upon the Registration Statement or any New Registration Statement and all amendments and supplements thereto at least two (2) Business Days prior to filing such Registration Statement or New Registration Statement with the SEC, and not file any such document in a form to which the Investor reasonably objects in writing. The Investor shall use its reasonable best efforts to comment upon the Registration Statement or any New Registration Statement and any amendments or supplements thereto within one (1) Business Day from the date the Investor receives the substantially final version thereof. The Company shall furnish to the Investor, without charge, any correspondence from the SEC or the Staff to the Company or its representatives relating to the Registration Statement or any New Registration Statement.</w:t>
      </w:r>
    </w:p>
    <w:p>
      <w:pPr>
        <w:spacing w:after="0" w:line="81"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c. Upon request of the Investor, the Company shall furnish to the Investor, (i) promptly after the same is prepared and filed with the SEC, at least one copy of any Registration Statement and any amendment(s) thereto, including financial statements and schedules, all documents incorporated therein by reference and all exhibits, (ii) upon the effectiveness of any Registration Statement, a copy of the prospectus included in such Registration Statement and all amendments and supplements thereto (or such other number of copies as the Investor may reasonably request) and (iii) such other documents, including copies of any preliminary or final prospectus, as the Investor may reasonably request from time to time in order to facilitate the disposition of the Registrable Securities owned by the Investor. For the avoidance of doubt, any filing available to the Investor via the SEC’s live EDGAR system shall be deemed “furnished to the Investor” or “delivered to the Investor” hereunder.</w:t>
      </w:r>
    </w:p>
    <w:p>
      <w:pPr>
        <w:spacing w:after="0" w:line="81" w:lineRule="exact"/>
        <w:rPr>
          <w:sz w:val="20"/>
          <w:szCs w:val="20"/>
          <w:color w:val="auto"/>
        </w:rPr>
      </w:pPr>
    </w:p>
    <w:p>
      <w:pPr>
        <w:ind w:left="4" w:right="420" w:firstLine="991"/>
        <w:spacing w:after="0" w:line="276" w:lineRule="auto"/>
        <w:rPr>
          <w:sz w:val="20"/>
          <w:szCs w:val="20"/>
          <w:color w:val="auto"/>
        </w:rPr>
      </w:pPr>
      <w:r>
        <w:rPr>
          <w:rFonts w:ascii="Times New Roman" w:cs="Times New Roman" w:eastAsia="Times New Roman" w:hAnsi="Times New Roman"/>
          <w:sz w:val="17"/>
          <w:szCs w:val="17"/>
          <w:color w:val="auto"/>
        </w:rPr>
        <w:t>d. The Company shall use commercially reasonable efforts to (i) register and qualify the Registrable Securities covered by any Registration Statement under such other securities or “blue sky” laws of such jurisdictions in the United States as the Investor reasonably requests,</w:t>
      </w:r>
    </w:p>
    <w:p>
      <w:pPr>
        <w:spacing w:after="0" w:line="1" w:lineRule="exact"/>
        <w:rPr>
          <w:sz w:val="20"/>
          <w:szCs w:val="20"/>
          <w:color w:val="auto"/>
        </w:rPr>
      </w:pPr>
    </w:p>
    <w:p>
      <w:pPr>
        <w:ind w:left="4" w:right="40" w:hanging="4"/>
        <w:spacing w:after="0" w:line="251" w:lineRule="auto"/>
        <w:tabs>
          <w:tab w:leader="none" w:pos="26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(x) qualify to do business in any jurisdiction where it would not otherwise be required to qualify but for this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(y) subject itself to taxation in any such jurisdiction, or (z) file a general consent to service of process in any such jurisdiction. The Company shall promptly notify the Investor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written notice of the initiation or threatening of any proceeding for such purpose. Notwithstanding anything in this Agreement to the contrary, the Company shall not be obligated to register or qualify the Registrable Securities under “blue sky” laws in any state which applies merit review.</w:t>
      </w:r>
    </w:p>
    <w:p>
      <w:pPr>
        <w:spacing w:after="0" w:line="84" w:lineRule="exact"/>
        <w:rPr>
          <w:rFonts w:ascii="Times New Roman" w:cs="Times New Roman" w:eastAsia="Times New Roman" w:hAnsi="Times New Roman"/>
          <w:sz w:val="18"/>
          <w:szCs w:val="18"/>
          <w:color w:val="auto"/>
        </w:rPr>
      </w:pPr>
    </w:p>
    <w:p>
      <w:pPr>
        <w:jc w:val="both"/>
        <w:ind w:left="4" w:right="80" w:firstLine="987"/>
        <w:spacing w:after="0" w:line="258" w:lineRule="auto"/>
        <w:tabs>
          <w:tab w:leader="none" w:pos="1165"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becoming aware of any event or fact, the result of which makes a material fact included in any Registration Statement, as then in effect, or any prospectus included therein untrue or results in the omission of a material fact required to be stated therein or necessary in order to make the statements then made therein (in the case of any prospectus, in light of the circumstances under which they were made) not misleading, the Company shall notify the Investor in writing of the happening of such event or existence of such facts and promptly prepare a supplement or amendment to such Registration Statement to correct such untrue statement or omission, and deliver a copy</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4"/>
          </w:cols>
          <w:pgMar w:left="436" w:top="270" w:right="499" w:bottom="1440" w:gutter="0" w:footer="0" w:header="0"/>
        </w:sectPr>
      </w:pPr>
    </w:p>
    <w:bookmarkStart w:id="191" w:name="page192"/>
    <w:bookmarkEnd w:id="191"/>
    <w:p>
      <w:pPr>
        <w:ind w:left="4" w:right="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such supplement or amendment to the Investor. The Company shall also promptly notify the Investor in writing (i) when a prospectus or any prospectus supplement or post-effective amendment has been filed, and when any Registration Statement or any post-effective amendment has become effective (notification of such effectiveness shall be delivered to the Investor by email or facsimile on the same day of such effectiveness or by overnight mail), (ii) of any request by the SEC for amendments or supplements to any Registration Statement or related prospectus or related information, and</w:t>
      </w:r>
    </w:p>
    <w:p>
      <w:pPr>
        <w:spacing w:after="0" w:line="3" w:lineRule="exact"/>
        <w:rPr>
          <w:sz w:val="20"/>
          <w:szCs w:val="20"/>
          <w:color w:val="auto"/>
        </w:rPr>
      </w:pPr>
    </w:p>
    <w:p>
      <w:pPr>
        <w:ind w:left="324" w:hanging="324"/>
        <w:spacing w:after="0"/>
        <w:tabs>
          <w:tab w:leader="none" w:pos="32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Company’s reasonable determination that a post-effective amendment to any Registration Statement would be appropriate.</w:t>
      </w:r>
    </w:p>
    <w:p>
      <w:pPr>
        <w:spacing w:after="0" w:line="98" w:lineRule="exact"/>
        <w:rPr>
          <w:rFonts w:ascii="Times New Roman" w:cs="Times New Roman" w:eastAsia="Times New Roman" w:hAnsi="Times New Roman"/>
          <w:sz w:val="18"/>
          <w:szCs w:val="18"/>
          <w:color w:val="auto"/>
        </w:rPr>
      </w:pPr>
    </w:p>
    <w:p>
      <w:pPr>
        <w:ind w:left="4" w:right="20" w:firstLine="987"/>
        <w:spacing w:after="0" w:line="261" w:lineRule="auto"/>
        <w:tabs>
          <w:tab w:leader="none" w:pos="1145"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to prevent the issuance of any stop order or other suspension of effectiveness of any Registration Statement, or the suspension of the qualification of any Registrable Securities for sale in any jurisdiction and, if such an order or suspension is issued, to obtain the withdrawal of such order or suspension at the earliest possible moment and to notify the Investor of the issuance of such order and the resolution thereof or its receipt of actual notice of the initiation or threat of any proceeding for such purpose.</w:t>
      </w:r>
    </w:p>
    <w:p>
      <w:pPr>
        <w:spacing w:after="0" w:line="71" w:lineRule="exact"/>
        <w:rPr>
          <w:rFonts w:ascii="Times New Roman" w:cs="Times New Roman" w:eastAsia="Times New Roman" w:hAnsi="Times New Roman"/>
          <w:sz w:val="18"/>
          <w:szCs w:val="18"/>
          <w:color w:val="auto"/>
        </w:rPr>
      </w:pPr>
    </w:p>
    <w:p>
      <w:pPr>
        <w:jc w:val="both"/>
        <w:ind w:left="4" w:firstLine="987"/>
        <w:spacing w:after="0" w:line="266" w:lineRule="auto"/>
        <w:tabs>
          <w:tab w:leader="none" w:pos="1175"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(i) cause all the Registrable Securities to be listed on the applicable Trading Market if the listing of such Registrable Securities is then permitted under the rules of such Trading Market, or (ii) secure designation and quotation of all the Registrable Securities on a Trading Market. The Company shall pay all fees and expenses in connection with satisfying its obligation under this </w:t>
      </w:r>
      <w:r>
        <w:rPr>
          <w:rFonts w:ascii="Times New Roman" w:cs="Times New Roman" w:eastAsia="Times New Roman" w:hAnsi="Times New Roman"/>
          <w:sz w:val="18"/>
          <w:szCs w:val="18"/>
          <w:u w:val="single" w:color="auto"/>
          <w:color w:val="auto"/>
        </w:rPr>
        <w:t>Section 3(g)</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left="4" w:right="20" w:firstLine="987"/>
        <w:spacing w:after="0" w:line="272" w:lineRule="auto"/>
        <w:tabs>
          <w:tab w:leader="none" w:pos="1175"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cooperate with the Investor to facilitate the timely issuance of the Registrable Securities to be offered pursuant to any Registration Statement, it being agreed that such Registrable Securities shall be issued as DWAC Shares and in such denominations or amounts as the Investor may reasonably request and registered in such names as the Investor may request. “</w:t>
      </w:r>
      <w:r>
        <w:rPr>
          <w:rFonts w:ascii="Times New Roman" w:cs="Times New Roman" w:eastAsia="Times New Roman" w:hAnsi="Times New Roman"/>
          <w:sz w:val="17"/>
          <w:szCs w:val="17"/>
          <w:u w:val="single" w:color="auto"/>
          <w:color w:val="auto"/>
        </w:rPr>
        <w:t>DWAC Shares</w:t>
      </w:r>
      <w:r>
        <w:rPr>
          <w:rFonts w:ascii="Times New Roman" w:cs="Times New Roman" w:eastAsia="Times New Roman" w:hAnsi="Times New Roman"/>
          <w:sz w:val="17"/>
          <w:szCs w:val="17"/>
          <w:color w:val="auto"/>
        </w:rPr>
        <w:t>” means shares of Common Stock that are</w:t>
      </w:r>
    </w:p>
    <w:p>
      <w:pPr>
        <w:spacing w:after="0" w:line="1" w:lineRule="exact"/>
        <w:rPr>
          <w:rFonts w:ascii="Times New Roman" w:cs="Times New Roman" w:eastAsia="Times New Roman" w:hAnsi="Times New Roman"/>
          <w:sz w:val="17"/>
          <w:szCs w:val="17"/>
          <w:color w:val="auto"/>
        </w:rPr>
      </w:pPr>
    </w:p>
    <w:p>
      <w:pPr>
        <w:ind w:left="4" w:right="60" w:hanging="4"/>
        <w:spacing w:after="0" w:line="255" w:lineRule="auto"/>
        <w:tabs>
          <w:tab w:leader="none" w:pos="21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in electronic form, (ii) the resale of which is registered under an effective registration statement and (iii) timely credited, once a DWAC notice is received, by the Company to the Investor’s or its designee’s specified Deposit/Withdrawal at Custodian (DWAC) account with DTC under its Fast Automated Securities Transfer (FAST) Program, or any similar program hereafter adopted by DTC performing substantially the same function.</w:t>
      </w:r>
    </w:p>
    <w:p>
      <w:pPr>
        <w:spacing w:after="0" w:line="77" w:lineRule="exact"/>
        <w:rPr>
          <w:rFonts w:ascii="Times New Roman" w:cs="Times New Roman" w:eastAsia="Times New Roman" w:hAnsi="Times New Roman"/>
          <w:sz w:val="18"/>
          <w:szCs w:val="18"/>
          <w:color w:val="auto"/>
        </w:rPr>
      </w:pPr>
    </w:p>
    <w:p>
      <w:pPr>
        <w:ind w:left="1124" w:hanging="133"/>
        <w:spacing w:after="0"/>
        <w:tabs>
          <w:tab w:leader="none" w:pos="1124"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at all times provide a transfer agent and registrar with respect to its Common Stock.</w:t>
      </w:r>
    </w:p>
    <w:p>
      <w:pPr>
        <w:spacing w:after="0" w:line="117"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135"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reasonably requested in writing by the Investor, the Company shall: (i) as soon as practicable after receipt of written notice from the Investor, incorporate in a prospectus supplement or post-effective amendment such information as the Investor reasonably believes should be included therein relating to the sale and distribution of Registrable Securities, including, without limitation, information with respect to the number of Registrable Securities being sold, the purchase price being paid therefor and any other terms of the offering of the Registrable Securities; (ii) make all required filings of such prospectus supplement or post-effective amendment as soon as practicable upon notification of the matters to be incorporated in such prospectus supplement or post-effective amendment; and (iii) supplement or make amendments to any Registration Statement or New Registration Statement.</w:t>
      </w:r>
    </w:p>
    <w:p>
      <w:pPr>
        <w:spacing w:after="0" w:line="80"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175"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to cause the Registrable Securities covered by any Registration Statement to be registered with or approved by such other governmental agencies or authorities in the United States as may be necessary to consummate the disposition of such Registrable Securities.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192" w:name="page193"/>
    <w:bookmarkEnd w:id="192"/>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 Within one (1) Business Day after any Registration Statement which includes the Registrable Securities is declared effective by the SEC, the Company shall deliver, and shall direct legal counsel for the Company to deliver, to the Transfer Agent (with copies to the Investor) confirmation that such Registration Statement has been declared effective by the SEC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Thereafter, if requested by the Investor at any time, the Company shall direct its counsel to deliver to the Investor a written confirmation whether or not the effectiveness of such Registration Statement has lapsed at any time for any reason (including, without limitation, the issuance of a stop order) and whether or not the Registration Statement is current and available to the Investor for sale of all of the Registrable Securities.</w:t>
      </w:r>
    </w:p>
    <w:p>
      <w:pPr>
        <w:spacing w:after="0" w:line="7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m. Notwithstanding anything to the contrary in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at any time after the applicable Registration Statement has been declared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effective by the SEC, the Company may delay the disclosure of material non-public information concerning the Company the disclosure of which at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time is not, in the good faith opinion of the Board of Directors of the Company and its counsel, in the best interest of the Company and not, in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opinion of counsel to the Company, otherwise required (a “</w:t>
      </w:r>
      <w:r>
        <w:rPr>
          <w:rFonts w:ascii="Times New Roman" w:cs="Times New Roman" w:eastAsia="Times New Roman" w:hAnsi="Times New Roman"/>
          <w:sz w:val="18"/>
          <w:szCs w:val="18"/>
          <w:u w:val="single" w:color="auto"/>
          <w:color w:val="auto"/>
        </w:rPr>
        <w:t>Grace Period</w:t>
      </w:r>
      <w:r>
        <w:rPr>
          <w:rFonts w:ascii="Times New Roman" w:cs="Times New Roman" w:eastAsia="Times New Roman" w:hAnsi="Times New Roman"/>
          <w:sz w:val="18"/>
          <w:szCs w:val="18"/>
          <w:color w:val="auto"/>
        </w:rPr>
        <w:t>”); provided, that the Company shall promptly (i) notify the Investor in writing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the existence of material non-public information giving rise to a Grace Period (provided that the Company shall not disclose the content of such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material non-public information to the Investor) and the date on which the Grace Period will begin, and (ii) notify the Investor in writing of the date 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which the Grace Period ends; and, provided further, that (A) no Grace Period shall exceed ten (10) consecutive days, (B) during any 365-day period,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such Grace Periods shall not exceed an aggregate of twenty-five (25) days and (C) the first day of any Grace Period shall be at least five (5) Trading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Days after the last day of any prior Grace Period (a Grace Period that satisfies all of the requirements of this </w:t>
      </w:r>
      <w:r>
        <w:rPr>
          <w:rFonts w:ascii="Times New Roman" w:cs="Times New Roman" w:eastAsia="Times New Roman" w:hAnsi="Times New Roman"/>
          <w:sz w:val="18"/>
          <w:szCs w:val="18"/>
          <w:u w:val="single" w:color="auto"/>
          <w:color w:val="auto"/>
        </w:rPr>
        <w:t>Section 3(m)</w:t>
      </w:r>
      <w:r>
        <w:rPr>
          <w:rFonts w:ascii="Times New Roman" w:cs="Times New Roman" w:eastAsia="Times New Roman" w:hAnsi="Times New Roman"/>
          <w:sz w:val="18"/>
          <w:szCs w:val="18"/>
          <w:color w:val="auto"/>
        </w:rPr>
        <w:t xml:space="preserve"> being referred to as 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Allowable Grace Period</w:t>
      </w:r>
      <w:r>
        <w:rPr>
          <w:rFonts w:ascii="Times New Roman" w:cs="Times New Roman" w:eastAsia="Times New Roman" w:hAnsi="Times New Roman"/>
          <w:sz w:val="18"/>
          <w:szCs w:val="18"/>
          <w:color w:val="auto"/>
        </w:rPr>
        <w:t>”). For purposes of determining the length of a Grace Period above, the Grace Period shall begin on and include the date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Investor receive the notice referred to in clause (i) and shall end on and include the later of the date the Investor receive the notice referred to in clause</w:t>
      </w:r>
    </w:p>
    <w:p>
      <w:pPr>
        <w:spacing w:after="0" w:line="9" w:lineRule="exact"/>
        <w:rPr>
          <w:sz w:val="20"/>
          <w:szCs w:val="20"/>
          <w:color w:val="auto"/>
        </w:rPr>
      </w:pPr>
    </w:p>
    <w:p>
      <w:pPr>
        <w:ind w:left="4" w:right="80" w:hanging="4"/>
        <w:spacing w:after="0" w:line="255" w:lineRule="auto"/>
        <w:tabs>
          <w:tab w:leader="none" w:pos="26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the date referred to in such notice. The provisions of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hereof shall not be applicable during the period of any Allowable Grace Period. Upon expiration of the Grace Period, the Company shall again be bound by the provisions of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with respect to the information giving rise thereto unless such material non-public information is no longer applicable.</w:t>
      </w:r>
    </w:p>
    <w:p>
      <w:pPr>
        <w:spacing w:after="0" w:line="77" w:lineRule="exact"/>
        <w:rPr>
          <w:rFonts w:ascii="Times New Roman" w:cs="Times New Roman" w:eastAsia="Times New Roman" w:hAnsi="Times New Roman"/>
          <w:sz w:val="18"/>
          <w:szCs w:val="18"/>
          <w:color w:val="auto"/>
        </w:rPr>
      </w:pPr>
    </w:p>
    <w:p>
      <w:pPr>
        <w:ind w:left="4" w:right="340" w:firstLine="987"/>
        <w:spacing w:after="0" w:line="282" w:lineRule="auto"/>
        <w:tabs>
          <w:tab w:leader="none" w:pos="1175" w:val="left"/>
        </w:tabs>
        <w:numPr>
          <w:ilvl w:val="2"/>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such other reasonable actions necessary to expedite and facilitate disposition by the Investor of Registrable Securities pursuant to any Registration Statement.</w:t>
      </w:r>
    </w:p>
    <w:p>
      <w:pPr>
        <w:spacing w:after="0" w:line="161"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THE INVESTOR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80" w:firstLine="987"/>
        <w:spacing w:after="0" w:line="258" w:lineRule="auto"/>
        <w:tabs>
          <w:tab w:leader="none" w:pos="1165"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notify the Investor in writing of the information the Company reasonably requires from the Investor in connection with any Registration Statement hereunder. The Investor shall promptly furnish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w:t>
      </w:r>
    </w:p>
    <w:p>
      <w:pPr>
        <w:spacing w:after="0" w:line="75" w:lineRule="exact"/>
        <w:rPr>
          <w:rFonts w:ascii="Times New Roman" w:cs="Times New Roman" w:eastAsia="Times New Roman" w:hAnsi="Times New Roman"/>
          <w:sz w:val="18"/>
          <w:szCs w:val="18"/>
          <w:color w:val="auto"/>
        </w:rPr>
      </w:pPr>
    </w:p>
    <w:p>
      <w:pPr>
        <w:ind w:left="4" w:right="300" w:firstLine="987"/>
        <w:spacing w:after="0" w:line="282" w:lineRule="auto"/>
        <w:tabs>
          <w:tab w:leader="none" w:pos="1175"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agrees to cooperate with the Company as reasonably requested by the Company in connection with the preparation and filing of any Registration Statement hereunder and any amendments and supplements thereof.</w:t>
      </w:r>
    </w:p>
    <w:p>
      <w:pPr>
        <w:spacing w:after="0" w:line="53" w:lineRule="exact"/>
        <w:rPr>
          <w:rFonts w:ascii="Times New Roman" w:cs="Times New Roman" w:eastAsia="Times New Roman" w:hAnsi="Times New Roman"/>
          <w:sz w:val="18"/>
          <w:szCs w:val="18"/>
          <w:color w:val="auto"/>
        </w:rPr>
      </w:pPr>
    </w:p>
    <w:p>
      <w:pPr>
        <w:ind w:left="4" w:right="240" w:firstLine="987"/>
        <w:spacing w:after="0" w:line="258" w:lineRule="auto"/>
        <w:tabs>
          <w:tab w:leader="none" w:pos="1165"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agrees that, upon receipt of any notice from the Company of the happening of any event or existence of facts of the kind described in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xml:space="preserve"> or the first sentence of </w:t>
      </w:r>
      <w:r>
        <w:rPr>
          <w:rFonts w:ascii="Times New Roman" w:cs="Times New Roman" w:eastAsia="Times New Roman" w:hAnsi="Times New Roman"/>
          <w:sz w:val="18"/>
          <w:szCs w:val="18"/>
          <w:u w:val="single" w:color="auto"/>
          <w:color w:val="auto"/>
        </w:rPr>
        <w:t>3(e)</w:t>
      </w:r>
      <w:r>
        <w:rPr>
          <w:rFonts w:ascii="Times New Roman" w:cs="Times New Roman" w:eastAsia="Times New Roman" w:hAnsi="Times New Roman"/>
          <w:sz w:val="18"/>
          <w:szCs w:val="18"/>
          <w:color w:val="auto"/>
        </w:rPr>
        <w:t xml:space="preserve">, the Investor will immediately discontinue disposition of Registrable Securities pursuant to any Registration Statement(s) covering such Registrable Securities until the Investor’s receipt of the copies of a notice regarding the resolution or withdrawal of the stop order or suspension as contemplated by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xml:space="preserve"> or the supplemented or amended prospectus as contemplated by the first sentence of Section 3(e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193" w:name="page194"/>
    <w:bookmarkEnd w:id="193"/>
    <w:p>
      <w:pPr>
        <w:ind w:left="4"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the Company shall direct the Transfer Agent to promptly deliver shares of Common Stock without any restrictive legend in accordance with the terms of the Purchase Agreement in connection with any sale of Registrable Securities with respect to which an Investor has entered into a contract for sale prior to the Investor’s receipt of a notice from the Company of the happening of any event of the kind described in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xml:space="preserve"> or the first sentence of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and for which the Investor has not yet settled. Each Investor agrees that, upon receipt of written notice from the Company of the happening of any event of the kind described in Section 3(g) or the first sentence of Section 3(f), or written notice from the Company of an Allowable Grace Period, such Investor will immediately discontinue disposition of Registrable Securities pursuant to any Registration Statement(s) covering such Registrable Securities until such Investor’s receipt of the copies of the supplemented or amended prospectus contemplated by Section 3(g) or the first sentence of Section 3(f) or receipt of notice that no supplement or amendment is required or that the Allowable Grace Period has ended. Notwithstanding anything to the contrary, the Company shall cause its transfer agent to deliver unlegended shares of Common Stock to a transferee of an Investor in accordance with the terms of the Securities Purchase Agreement in connection with any sale of Registrable Securities with respect to which an Investor has entered into a contract for sale prior to the Investor’s receipt of a notice from the Company of the happening of any event of the kind described in Section 3(g) or the first sentence of Section 3(f) or written notice from the Company of an Allowable Grace Period and for which the Investor has not yet settled.</w:t>
      </w:r>
    </w:p>
    <w:p>
      <w:pPr>
        <w:spacing w:after="0" w:line="187" w:lineRule="exact"/>
        <w:rPr>
          <w:sz w:val="20"/>
          <w:szCs w:val="20"/>
          <w:color w:val="auto"/>
        </w:rPr>
      </w:pPr>
    </w:p>
    <w:p>
      <w:pPr>
        <w:ind w:left="624" w:hanging="184"/>
        <w:spacing w:after="0"/>
        <w:tabs>
          <w:tab w:leader="none" w:pos="62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All reasonable expenses of the Company, other than sales or brokerage commissions, incurred in connection with registrations, filings or qualifications pursuant to </w:t>
      </w:r>
      <w:r>
        <w:rPr>
          <w:rFonts w:ascii="Times New Roman" w:cs="Times New Roman" w:eastAsia="Times New Roman" w:hAnsi="Times New Roman"/>
          <w:sz w:val="18"/>
          <w:szCs w:val="18"/>
          <w:u w:val="single" w:color="auto"/>
          <w:color w:val="auto"/>
        </w:rPr>
        <w:t>Sections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including, without limitation, all registration, listing and qualifications fees, printers and accounting fees, and fees and disbursements of counsel for the Company, shall be paid by the Company.</w:t>
      </w:r>
    </w:p>
    <w:p>
      <w:pPr>
        <w:spacing w:after="0" w:line="176" w:lineRule="exact"/>
        <w:rPr>
          <w:sz w:val="20"/>
          <w:szCs w:val="20"/>
          <w:color w:val="auto"/>
        </w:rPr>
      </w:pPr>
    </w:p>
    <w:p>
      <w:pPr>
        <w:ind w:left="624" w:hanging="184"/>
        <w:spacing w:after="0"/>
        <w:tabs>
          <w:tab w:leader="none" w:pos="624"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20" w:firstLine="991"/>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 To the fullest extent permitted by law, the Company will, and hereby does, indemnify, hold harmless and defend the Investor, each Person, if any, who controls the Investor, the members, the directors, officers, partners, employees, agents, representatives of the Investor and each Person, if any, who controls the Investor within the meaning of Section 20 of the Securities Exchange Act of 1934, as amended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(each, an “</w:t>
      </w:r>
      <w:r>
        <w:rPr>
          <w:rFonts w:ascii="Times New Roman" w:cs="Times New Roman" w:eastAsia="Times New Roman" w:hAnsi="Times New Roman"/>
          <w:sz w:val="17"/>
          <w:szCs w:val="17"/>
          <w:u w:val="single" w:color="auto"/>
          <w:color w:val="auto"/>
        </w:rPr>
        <w:t>Indemnified Person</w:t>
      </w:r>
      <w:r>
        <w:rPr>
          <w:rFonts w:ascii="Times New Roman" w:cs="Times New Roman" w:eastAsia="Times New Roman" w:hAnsi="Times New Roman"/>
          <w:sz w:val="17"/>
          <w:szCs w:val="17"/>
          <w:color w:val="auto"/>
        </w:rPr>
        <w:t>”), against any losses, claims, damages, liabilities, judgments, fines, penalties, charges, costs, reasonable attorneys’ fees, amounts paid in settlement (such settlement with the consent of the Company, and such consent not to be unreasonably withheld) or reasonable expenses, joint or several, (collectively, “</w:t>
      </w:r>
      <w:r>
        <w:rPr>
          <w:rFonts w:ascii="Times New Roman" w:cs="Times New Roman" w:eastAsia="Times New Roman" w:hAnsi="Times New Roman"/>
          <w:sz w:val="17"/>
          <w:szCs w:val="17"/>
          <w:u w:val="single" w:color="auto"/>
          <w:color w:val="auto"/>
        </w:rPr>
        <w:t>Claims</w:t>
      </w:r>
      <w:r>
        <w:rPr>
          <w:rFonts w:ascii="Times New Roman" w:cs="Times New Roman" w:eastAsia="Times New Roman" w:hAnsi="Times New Roman"/>
          <w:sz w:val="17"/>
          <w:szCs w:val="17"/>
          <w:color w:val="auto"/>
        </w:rPr>
        <w:t>”) incurred in investigating, preparing or defending any action, claim, suit, inquiry, proceeding, investigation or appeal taken from the foregoing by or before any court or governmental, administrative or other regulatory agency, body or the SEC, whether pending or threatened, whether or not an indemnified party is or may be a party thereto (“</w:t>
      </w:r>
      <w:r>
        <w:rPr>
          <w:rFonts w:ascii="Times New Roman" w:cs="Times New Roman" w:eastAsia="Times New Roman" w:hAnsi="Times New Roman"/>
          <w:sz w:val="17"/>
          <w:szCs w:val="17"/>
          <w:u w:val="single" w:color="auto"/>
          <w:color w:val="auto"/>
        </w:rPr>
        <w:t>Indemnified Damages</w:t>
      </w:r>
      <w:r>
        <w:rPr>
          <w:rFonts w:ascii="Times New Roman" w:cs="Times New Roman" w:eastAsia="Times New Roman" w:hAnsi="Times New Roman"/>
          <w:sz w:val="17"/>
          <w:szCs w:val="17"/>
          <w:color w:val="auto"/>
        </w:rPr>
        <w:t>”), to which any of them may become subject insofar as such Claims (or actions or proceedings, whether commenced or threatened, in respect thereof) arise out of or are based upon:</w:t>
      </w:r>
    </w:p>
    <w:p>
      <w:pPr>
        <w:spacing w:after="0" w:line="5" w:lineRule="exact"/>
        <w:rPr>
          <w:rFonts w:ascii="Times New Roman" w:cs="Times New Roman" w:eastAsia="Times New Roman" w:hAnsi="Times New Roman"/>
          <w:sz w:val="18"/>
          <w:szCs w:val="18"/>
          <w:color w:val="auto"/>
        </w:rPr>
      </w:pPr>
    </w:p>
    <w:p>
      <w:pPr>
        <w:ind w:left="4" w:hanging="4"/>
        <w:spacing w:after="0" w:line="251" w:lineRule="auto"/>
        <w:tabs>
          <w:tab w:leader="none" w:pos="21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of a material fact in the Registration Statement, any New Registration Statement or any post-effective amendment thereto or in any filing made by the Company in connection with the qualification of the offering under the securities or other “blue sky” laws of any jurisdiction in which Registrable Securities are offered (“</w:t>
      </w:r>
      <w:r>
        <w:rPr>
          <w:rFonts w:ascii="Times New Roman" w:cs="Times New Roman" w:eastAsia="Times New Roman" w:hAnsi="Times New Roman"/>
          <w:sz w:val="18"/>
          <w:szCs w:val="18"/>
          <w:u w:val="single" w:color="auto"/>
          <w:color w:val="auto"/>
        </w:rPr>
        <w:t>Blue Sky Filing</w:t>
      </w:r>
      <w:r>
        <w:rPr>
          <w:rFonts w:ascii="Times New Roman" w:cs="Times New Roman" w:eastAsia="Times New Roman" w:hAnsi="Times New Roman"/>
          <w:sz w:val="18"/>
          <w:szCs w:val="18"/>
          <w:color w:val="auto"/>
        </w:rPr>
        <w:t>”), or the omission or alleged omission to state a material fact required to be stated therein or necessary to make the statements therein not misleading, (ii) any untrue statement or alleged untrue statement of a material fact contained in the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(iii) any violation or alleged violation by the Company of the Securities Act, the</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70" w:right="439" w:bottom="1440" w:gutter="0" w:footer="0" w:header="0"/>
        </w:sectPr>
      </w:pPr>
    </w:p>
    <w:bookmarkStart w:id="194" w:name="page195"/>
    <w:bookmarkEnd w:id="194"/>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Act, any other law, including, without limitation, any state securities law, or any rule or regulation thereunder relating to the offer or sale of the Registrable Securities pursuant to the Registration Statement or any New Registration Statement or (iv) any material violation by the Company of this Agreement (the matters in the foregoing clauses (i) through (iv) being, collectively, “</w:t>
      </w:r>
      <w:r>
        <w:rPr>
          <w:rFonts w:ascii="Times New Roman" w:cs="Times New Roman" w:eastAsia="Times New Roman" w:hAnsi="Times New Roman"/>
          <w:sz w:val="18"/>
          <w:szCs w:val="18"/>
          <w:u w:val="single" w:color="auto"/>
          <w:color w:val="auto"/>
        </w:rPr>
        <w:t>Violations</w:t>
      </w:r>
      <w:r>
        <w:rPr>
          <w:rFonts w:ascii="Times New Roman" w:cs="Times New Roman" w:eastAsia="Times New Roman" w:hAnsi="Times New Roman"/>
          <w:sz w:val="18"/>
          <w:szCs w:val="18"/>
          <w:color w:val="auto"/>
        </w:rPr>
        <w:t xml:space="preserve">”). The Company shall reimburse each Indemnified Person promptly as such expenses are incurred and are due and payable, for any reasonable and documented legal fees or other reasonable expenses incurred by them in connection with investigating or defending any such Claim. Notwithstanding anything to the contrary contained herein, the indemnification agreement contained in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(i) shall not apply to a Claim by an Indemnified Person arising out of or based upon a Violation which occurs in reliance upon and in conformity with information about or relating to the Investor or its sale of Registrable Securities furnished in writing to the Company by such Indemnified Person expressly for use in connection with the preparation of the Registration Statement, any New Registration Statement or any such amendment thereof or supplement thereto or prospectus contained therein, if such Registration Statement, New Registration Statement or amendment thereof or supplement thereof or prospectus contained therein was timely made available by the Company pursuant to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(ii) with respect to any superseded prospectus, shall not inure to the benefit of any such Person from whom the Person asserting any such Claim purchased the Registrable Securities that are the subject thereof (or to the benefit of any Person controlling such Person) if the untrue statement or omission of material fact contained in the superseded prospectus was corrected in the revised prospectus, as then amended or supplemented, if such revised prospectus was timely made available by the Company pursuant to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and the Indemnified Person was promptly advised in writing not to use the incorrect prospectus prior to the use giving rise to a violation and such Indemnified Person, notwithstanding such advice, used it; (iii) shall not be available to the extent such Claim is based on a failure of the Investor to deliver or to cause to be delivered the prospectus made available by the Company, if such prospectus was timely made available by the Company pursuant to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and (iv)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and shall survive the transfer of the Registrable Securities by the Investor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b. In connection with the Registration Statement or any New Registration Statement or prospectus, the Investor agrees to indemnify, hold harmless and defend, to the same extent and in the same manner as is set forth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the Company, each of its directors, each of its officers who signs the Registration Statement or any New Registration Statement, each Person, if any, who controls the Company within the meaning of Section 20 of the Exchange Act (collectively and together with an Indemnified Person,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against any Claim or Indemnified Damages to which any of them may become subject, under the Securities Act, the Exchange Act or otherwise, insofar as such Claim or Indemnified Damages arise out of or are based upon any Violation, in each case to the extent, and only to the extent, that such Violation occurs in reliance upon and in conformity with written information about the Investor or its offer and sale of Registrable Securities including the information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or updated from time to time in writing by the Investor and furnished to the Company by the Investor expressly for use in connection with such Registration Statement or prospectus or any New Registration Statement or from the failure of the Investor to deliver or cause to be delivered the prospectus made available by the Company, if such prospectus was timely made available by the Company pursuant to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the Investor will reimburse any legal or other expenses reasonably incurred (and documented) by such Indemnified Party in connection with investigating or defending any such Claim; provided, however, that the indemnity agreement contained in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and the agreement with respect to contribution contained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not apply to amounts paid in settlement of any Claim if such settlement is effected without the prior written consent of the Investor, which consent shall not be unreasonably withheld; provided, further, however, that the Investor shall be liable under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for only that amount of a Claim or Indemnified Damages as does not exceed the net proceeds to the Investor as a result of the sale of Registrable Securities pursuant to such Registration Statement. Such indemnity shall remain in full force and effect regardless of any investigation made by or on behalf of such Indemnified Party and shall survive the transfer of the Registrable Securities by the Investor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195" w:name="page196"/>
    <w:bookmarkEnd w:id="195"/>
    <w:p>
      <w:pPr>
        <w:ind w:firstLine="991"/>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Promptly after receipt by an Indemnified Person or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separate counsel comprised of one attorney or law firm with the reasonable and documented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fully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at all times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which does not include as an unconditional term thereof the giving by the claimant or plaintiff to such Indemnified Party or Indemnified Person of a release from all liability in respect to such claim or litigation.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except to the extent that the indemnifying party is prejudiced in its ability to defend such action.</w:t>
      </w:r>
    </w:p>
    <w:p>
      <w:pPr>
        <w:spacing w:after="0" w:line="98" w:lineRule="exact"/>
        <w:rPr>
          <w:sz w:val="20"/>
          <w:szCs w:val="20"/>
          <w:color w:val="auto"/>
        </w:rPr>
      </w:pPr>
    </w:p>
    <w:p>
      <w:pPr>
        <w:ind w:right="460" w:firstLine="991"/>
        <w:spacing w:after="0" w:line="289" w:lineRule="auto"/>
        <w:rPr>
          <w:sz w:val="20"/>
          <w:szCs w:val="20"/>
          <w:color w:val="auto"/>
        </w:rPr>
      </w:pPr>
      <w:r>
        <w:rPr>
          <w:rFonts w:ascii="Times New Roman" w:cs="Times New Roman" w:eastAsia="Times New Roman" w:hAnsi="Times New Roman"/>
          <w:sz w:val="17"/>
          <w:szCs w:val="17"/>
          <w:color w:val="auto"/>
        </w:rPr>
        <w:t xml:space="preserve">d. The indemnification required by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that is later determined (via definitive adjudication) not to be entitled to such payment shall return such payment to the person making it.</w:t>
      </w:r>
    </w:p>
    <w:p>
      <w:pPr>
        <w:spacing w:after="0" w:line="50" w:lineRule="exact"/>
        <w:rPr>
          <w:sz w:val="20"/>
          <w:szCs w:val="20"/>
          <w:color w:val="auto"/>
        </w:rPr>
      </w:pPr>
    </w:p>
    <w:p>
      <w:pPr>
        <w:ind w:right="80" w:firstLine="991"/>
        <w:spacing w:after="0" w:line="312" w:lineRule="auto"/>
        <w:rPr>
          <w:sz w:val="20"/>
          <w:szCs w:val="20"/>
          <w:color w:val="auto"/>
        </w:rPr>
      </w:pPr>
      <w:r>
        <w:rPr>
          <w:rFonts w:ascii="Times New Roman" w:cs="Times New Roman" w:eastAsia="Times New Roman" w:hAnsi="Times New Roman"/>
          <w:sz w:val="17"/>
          <w:szCs w:val="17"/>
          <w:color w:val="auto"/>
        </w:rPr>
        <w:t>e. The indemnity agreements contained herein shall be in addition to (i) any cause of action or similar right of the Indemnified Party or Indemnified Person against the indemnifying party or others, and (ii) any liabilities the indemnifying party may be subject to pursuant to applicable law.</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196" w:name="page197"/>
    <w:bookmarkEnd w:id="196"/>
    <w:p>
      <w:pPr>
        <w:ind w:left="624" w:hanging="184"/>
        <w:spacing w:after="0"/>
        <w:tabs>
          <w:tab w:leader="none" w:pos="62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CONTRIBUTION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0" w:firstLine="991"/>
        <w:spacing w:after="0" w:line="270" w:lineRule="auto"/>
        <w:rPr>
          <w:sz w:val="20"/>
          <w:szCs w:val="20"/>
          <w:color w:val="auto"/>
        </w:rPr>
      </w:pPr>
      <w:r>
        <w:rPr>
          <w:rFonts w:ascii="Times New Roman" w:cs="Times New Roman" w:eastAsia="Times New Roman" w:hAnsi="Times New Roman"/>
          <w:sz w:val="17"/>
          <w:szCs w:val="17"/>
          <w:color w:val="auto"/>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w:t>
      </w:r>
    </w:p>
    <w:p>
      <w:pPr>
        <w:spacing w:after="0" w:line="3" w:lineRule="exact"/>
        <w:rPr>
          <w:sz w:val="20"/>
          <w:szCs w:val="20"/>
          <w:color w:val="auto"/>
        </w:rPr>
      </w:pPr>
    </w:p>
    <w:p>
      <w:pPr>
        <w:ind w:left="4" w:right="140" w:hanging="4"/>
        <w:spacing w:after="0" w:line="260" w:lineRule="auto"/>
        <w:tabs>
          <w:tab w:leader="none" w:pos="26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by any seller of Registrable Securities shall be limited in amount to the net amount of proceeds received by such seller from the sale of such Registrable Securities.</w:t>
      </w:r>
    </w:p>
    <w:p>
      <w:pPr>
        <w:spacing w:after="0" w:line="181" w:lineRule="exact"/>
        <w:rPr>
          <w:sz w:val="20"/>
          <w:szCs w:val="20"/>
          <w:color w:val="auto"/>
        </w:rPr>
      </w:pPr>
    </w:p>
    <w:p>
      <w:pPr>
        <w:ind w:left="624" w:hanging="184"/>
        <w:spacing w:after="0"/>
        <w:tabs>
          <w:tab w:leader="none" w:pos="62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 AND DISCLOSURE UNDER THE SECURITIES ACT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t>With a view to making available to the Investor the benefits of Rule 144 promulgated under the Securities Act or any other similar rule or regulation of the SEC that may at any time permit the Investor to sell securities of the Company to the public without registration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the Company agrees, at the Company’s sole expense, for as long as the Investor owns Registrable Securities, to use commercially reasonable efforts to:</w:t>
      </w:r>
    </w:p>
    <w:p>
      <w:pPr>
        <w:spacing w:after="0" w:line="68" w:lineRule="exact"/>
        <w:rPr>
          <w:sz w:val="20"/>
          <w:szCs w:val="20"/>
          <w:color w:val="auto"/>
        </w:rPr>
      </w:pPr>
    </w:p>
    <w:p>
      <w:pPr>
        <w:ind w:left="4" w:right="40" w:firstLine="991"/>
        <w:spacing w:after="0" w:line="282" w:lineRule="auto"/>
        <w:rPr>
          <w:sz w:val="20"/>
          <w:szCs w:val="20"/>
          <w:color w:val="auto"/>
        </w:rPr>
      </w:pPr>
      <w:r>
        <w:rPr>
          <w:rFonts w:ascii="Times New Roman" w:cs="Times New Roman" w:eastAsia="Times New Roman" w:hAnsi="Times New Roman"/>
          <w:sz w:val="18"/>
          <w:szCs w:val="18"/>
          <w:color w:val="auto"/>
        </w:rPr>
        <w:t>a. make and keep public information available, as those terms are understood and defined in Rule 144 (with the failure of the Company for any reason to satisfy the requirements of Rule 144(c)(1), referred to as a “</w:t>
      </w:r>
      <w:r>
        <w:rPr>
          <w:rFonts w:ascii="Times New Roman" w:cs="Times New Roman" w:eastAsia="Times New Roman" w:hAnsi="Times New Roman"/>
          <w:sz w:val="18"/>
          <w:szCs w:val="18"/>
          <w:u w:val="single" w:color="auto"/>
          <w:color w:val="auto"/>
        </w:rPr>
        <w:t>Current Public Information Failure</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 w:firstLine="991"/>
        <w:spacing w:after="0" w:line="312" w:lineRule="auto"/>
        <w:rPr>
          <w:sz w:val="20"/>
          <w:szCs w:val="20"/>
          <w:color w:val="auto"/>
        </w:rPr>
      </w:pPr>
      <w:r>
        <w:rPr>
          <w:rFonts w:ascii="Times New Roman" w:cs="Times New Roman" w:eastAsia="Times New Roman" w:hAnsi="Times New Roman"/>
          <w:sz w:val="17"/>
          <w:szCs w:val="17"/>
          <w:color w:val="auto"/>
        </w:rPr>
        <w:t>b. file with the SEC all reports and other documents required of the Company under the Securities Act and the Exchange Act so long as the Company remains subject to such requirements and the filing of such reports and other documents is required for the applicable provisions of Rule 144;</w:t>
      </w:r>
    </w:p>
    <w:p>
      <w:pPr>
        <w:spacing w:after="0" w:line="32" w:lineRule="exact"/>
        <w:rPr>
          <w:sz w:val="20"/>
          <w:szCs w:val="20"/>
          <w:color w:val="auto"/>
        </w:rPr>
      </w:pPr>
    </w:p>
    <w:p>
      <w:pPr>
        <w:ind w:left="4" w:right="200" w:firstLine="991"/>
        <w:spacing w:after="0" w:line="258" w:lineRule="auto"/>
        <w:rPr>
          <w:sz w:val="20"/>
          <w:szCs w:val="20"/>
          <w:color w:val="auto"/>
        </w:rPr>
      </w:pPr>
      <w:r>
        <w:rPr>
          <w:rFonts w:ascii="Times New Roman" w:cs="Times New Roman" w:eastAsia="Times New Roman" w:hAnsi="Times New Roman"/>
          <w:sz w:val="18"/>
          <w:szCs w:val="18"/>
          <w:color w:val="auto"/>
        </w:rPr>
        <w:t>c. furnish to the Investor so long as the Investor owns Registrable Securities, promptly upon request (i) a written statement by the Company that it has complied with the reporting and or disclosure provisions of Rule 144(c) with a confirmation that no Current Public Information Failure has occurred, the Securities Act and the Exchange Act, (ii) a copy of the most recent annual or quarterly report of the Company and such other reports and documents so filed by the Company, and (iii) such other information as may be reasonably requested to permit the Investor to sell such securities pursuant to Rule 144 without registration; and</w:t>
      </w:r>
    </w:p>
    <w:p>
      <w:pPr>
        <w:spacing w:after="0" w:line="75" w:lineRule="exact"/>
        <w:rPr>
          <w:sz w:val="20"/>
          <w:szCs w:val="20"/>
          <w:color w:val="auto"/>
        </w:rPr>
      </w:pPr>
    </w:p>
    <w:p>
      <w:pPr>
        <w:ind w:left="4" w:right="80" w:firstLine="991"/>
        <w:spacing w:after="0" w:line="256" w:lineRule="auto"/>
        <w:rPr>
          <w:sz w:val="20"/>
          <w:szCs w:val="20"/>
          <w:color w:val="auto"/>
        </w:rPr>
      </w:pPr>
      <w:r>
        <w:rPr>
          <w:rFonts w:ascii="Times New Roman" w:cs="Times New Roman" w:eastAsia="Times New Roman" w:hAnsi="Times New Roman"/>
          <w:sz w:val="18"/>
          <w:szCs w:val="18"/>
          <w:color w:val="auto"/>
        </w:rPr>
        <w:t>d. take such additional action as is reasonably requested by the Investor to enable the Investor to sell the Registrable Securities pursuant to Rule 144, including, without limitation, delivering all such legal opinions, consents, certificates, resolutions and instructions to the Transfer Agent as may be reasonably requested from time to time by the Investor and otherwise reasonably cooperate with the Investor and the Investor’s broker to effect such sale of securities pursuant to Rule 144; provided, however, the Investor shall provide such documents as may be reasonably required by the Transfer Agent in connection therewith, including any written representations or certifications of the Investor or its broker (which shall not include any opinion of the Investor’s counsel) that may be required by the Transfer Agent in connection therewith.</w:t>
      </w:r>
    </w:p>
    <w:p>
      <w:pPr>
        <w:spacing w:after="0" w:line="187" w:lineRule="exact"/>
        <w:rPr>
          <w:sz w:val="20"/>
          <w:szCs w:val="20"/>
          <w:color w:val="auto"/>
        </w:rPr>
      </w:pPr>
    </w:p>
    <w:p>
      <w:pPr>
        <w:ind w:left="4" w:right="4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The Company agrees that damages may be an inadequate remedy for any breach of the terms and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that Investor shall, whether or not it is pursuing any remedies at law, be entitled to seek equitable relief in the form of a preliminary or permanent injunctions, without having to post any bond or other security, upon any breach or threatened breach of any such terms or provisions.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70" w:right="439" w:bottom="1440" w:gutter="0" w:footer="0" w:header="0"/>
        </w:sectPr>
      </w:pPr>
    </w:p>
    <w:bookmarkStart w:id="197" w:name="page198"/>
    <w:bookmarkEnd w:id="197"/>
    <w:p>
      <w:pPr>
        <w:ind w:left="620" w:hanging="184"/>
        <w:spacing w:after="0"/>
        <w:tabs>
          <w:tab w:leader="none" w:pos="6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OF 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The Company shall not assign this Agreement or any rights or obligations hereunder without the prior written consent of the Investor; provided, however, that any transaction, whether by merger, reorganization, restructuring, consolidation, financing or otherwise, including but not limited to any Fundamental Transaction (as defined in the Certificate of Designation), shall not be deemed an assignment. The Investor may not assign its rights under this Agreement without the prior written consent of the Company, other than to an affiliate of the Investor, in which case the assignee must agree in writing to be bound by the terms and conditions of this Agreement.</w:t>
      </w:r>
    </w:p>
    <w:p>
      <w:pPr>
        <w:spacing w:after="0" w:line="183" w:lineRule="exact"/>
        <w:rPr>
          <w:sz w:val="20"/>
          <w:szCs w:val="20"/>
          <w:color w:val="auto"/>
        </w:rPr>
      </w:pPr>
    </w:p>
    <w:p>
      <w:pPr>
        <w:ind w:left="700" w:hanging="264"/>
        <w:spacing w:after="0"/>
        <w:tabs>
          <w:tab w:leader="none" w:pos="7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This Agreement may not be (i) amended other than by a written instrument signed by both parties hereto or (ii) waived other than in a written instrument signed by the party against whom enforcement of such waiver is sought. Failure of any party to exercise any right or remedy under this Agreement or otherwise, or delay by a party in exercising such right or remedy, shall not operate as a waiver thereof.</w:t>
      </w:r>
    </w:p>
    <w:p>
      <w:pPr>
        <w:spacing w:after="0" w:line="176" w:lineRule="exact"/>
        <w:rPr>
          <w:sz w:val="20"/>
          <w:szCs w:val="20"/>
          <w:color w:val="auto"/>
        </w:rPr>
      </w:pPr>
    </w:p>
    <w:p>
      <w:pPr>
        <w:ind w:left="700" w:hanging="264"/>
        <w:spacing w:after="0"/>
        <w:tabs>
          <w:tab w:leader="none" w:pos="7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987"/>
        <w:spacing w:after="0" w:line="261" w:lineRule="auto"/>
        <w:tabs>
          <w:tab w:leader="none" w:pos="1161"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is deemed to be a holder of 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the registered owner of such Registrable Securities as set forth on the books and records of the Transfer Agent.</w:t>
      </w:r>
    </w:p>
    <w:p>
      <w:pPr>
        <w:spacing w:after="0" w:line="71" w:lineRule="exact"/>
        <w:rPr>
          <w:rFonts w:ascii="Times New Roman" w:cs="Times New Roman" w:eastAsia="Times New Roman" w:hAnsi="Times New Roman"/>
          <w:sz w:val="18"/>
          <w:szCs w:val="18"/>
          <w:color w:val="auto"/>
        </w:rPr>
      </w:pPr>
    </w:p>
    <w:p>
      <w:pPr>
        <w:ind w:firstLine="987"/>
        <w:spacing w:after="0" w:line="281" w:lineRule="auto"/>
        <w:tabs>
          <w:tab w:leader="none" w:pos="1171" w:val="left"/>
        </w:tabs>
        <w:numPr>
          <w:ilvl w:val="1"/>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notices, consents or other communications required or permitted to be given under the terms of this Agreement must be in writing and will be deemed to have been delivered: (i) upon receipt when delivered personally; (ii) upon receipt when sent by email (provided confirmation of transmission is mechanically or electronically generated and kept on file by the sending party); or (iii) one Business Day after deposit with a nationally recognized overnight delivery service, in each case properly addressed to the party to receive the same. The addresses for such communications shall be:</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Jaguar Health,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200 Pine Street, Suite 400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San Francisco, California 94104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copies to (which shall not constitute notice or service of process):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Donald C. Reinke, Esq.</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Reed Smith LLP</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1841 Page Mill Road, Suite 110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DReinke@ReedSmith.com</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198" w:name="page199"/>
    <w:bookmarkEnd w:id="19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Investor:</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C/M Capital Master Fund, 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1111 Brickell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Suite 2920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Miami, Florida 33131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thomas@cm-funds.com/jonathan@cm-funds.com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Thomas Walsh/Jonathan Juchno</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 (which shall not constitute notice or service of process):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Pryor Cashman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7 Times Square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M. Ali Panjwani, Esq.</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ali.panjwani@pryorcashman.com</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If to the Transfer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tabs>
          <w:tab w:leader="none" w:pos="1980" w:val="left"/>
        </w:tabs>
        <w:rPr>
          <w:sz w:val="20"/>
          <w:szCs w:val="20"/>
          <w:color w:val="auto"/>
        </w:rPr>
      </w:pPr>
      <w:r>
        <w:rPr>
          <w:rFonts w:ascii="Times New Roman" w:cs="Times New Roman" w:eastAsia="Times New Roman" w:hAnsi="Times New Roman"/>
          <w:sz w:val="18"/>
          <w:szCs w:val="18"/>
          <w:color w:val="auto"/>
        </w:rPr>
        <w:t xml:space="preserve">[             </w:t>
        <w:tab/>
        <w:t>]</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________</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___________</w:t>
      </w:r>
    </w:p>
    <w:p>
      <w:pPr>
        <w:spacing w:after="0" w:line="20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or at such other address and/or email address and/or to the attention of such other Person as the recipient party has specified by written notice given to each other party three (3) Business Days prior to the effectiveness of such change. Written confirmation of receipt (A) given by the recipient of such notice, consent or other communication, (B) mechanically or electronically generated by the sender’s email account containing the time, date, and recipient email address, as applicable or (C) provided by a nationally recognized overnight delivery service, shall be rebuttable evidence of personal service, or receipt from a nationally recognized overnight delivery service in accordance with clause (i), (ii) or (iii) above, respectively.</w:t>
      </w:r>
    </w:p>
    <w:p>
      <w:pPr>
        <w:spacing w:after="0" w:line="7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c. This Agreement, and all claims or cause of action (whether in contract, tort or statute)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shall be governed by and construed and enforced in accordance with the internal laws of the State of Delaware without regard to conflict of law principles that would result in the application of any law other than the law of the State of Delaware. The parties (a) hereby irrevocably and unconditionally submit to the exclusive jurisdiction of (I) the state courts of Delaware and (II) the United States District Court in the City and County of Wilmington, New Castle County for the purpose of any suit, action or other proceeding arising out of or based upon this Agreement, (b) agree not to commence any suit, action or other proceeding arising out of or based upon this Agreement except in the state courts of Delaware or the United States District Court in the City and County of Wilmington, New Castle County,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 </w:t>
      </w:r>
      <w:r>
        <w:rPr>
          <w:rFonts w:ascii="Times New Roman" w:cs="Times New Roman" w:eastAsia="Times New Roman" w:hAnsi="Times New Roman"/>
          <w:sz w:val="18"/>
          <w:szCs w:val="18"/>
          <w:b w:val="1"/>
          <w:bCs w:val="1"/>
          <w:color w:val="auto"/>
        </w:rPr>
        <w:t>EACH PARTY HEREBY WAIVES ITS</w:t>
      </w:r>
    </w:p>
    <w:p>
      <w:pPr>
        <w:spacing w:after="0" w:line="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t>RIGHTS TO A JURY TRIAL OF ANY CLAIM OR CAUSE OF ACTION BASED UPON OR ARISING OUT OF THIS AGREEMENT, THE OTHER TRANSACTION DOCUMENTS, THE SECURITIES OR THE SUBJECT MATTER HEREOF OR THEREOF. THE SCOPE OF THIS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99" w:name="page200"/>
    <w:bookmarkEnd w:id="199"/>
    <w:p>
      <w:pPr>
        <w:ind w:right="240"/>
        <w:spacing w:after="0" w:line="273"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r>
        <w:rPr>
          <w:rFonts w:ascii="Times New Roman" w:cs="Times New Roman" w:eastAsia="Times New Roman" w:hAnsi="Times New Roman"/>
          <w:sz w:val="17"/>
          <w:szCs w:val="17"/>
          <w:color w:val="auto"/>
        </w:rPr>
        <w:t>.</w:t>
      </w:r>
    </w:p>
    <w:p>
      <w:pPr>
        <w:spacing w:after="0" w:line="20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d. This Agreement and the Purchase Agreement constitute the entire agreement among the parties hereto with respect to the subject matter hereof and thereof. There are no restrictions, promises, warranties or undertakings among the parties hereto, other than those set forth or referred to herein and therein. This Agreement and the Purchase Agreement supersede all prior agreements and understandings among the parties hereto with respect to the subject matter hereof and thereof.</w:t>
      </w:r>
    </w:p>
    <w:p>
      <w:pPr>
        <w:spacing w:after="0" w:line="207"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e. This Agreement is intended for the benefit of the parties hereto and, subject to the requirements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their successors and permitted assigns and, except as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with respect to those Persons entitled to indemnity thereunder, is not for the benefit of, nor may any provision hereof be enforced by, any other Person.</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The headings in this Agreement are for convenience of reference only and shall not limit or otherwise affect the meaning hereof.</w:t>
      </w:r>
    </w:p>
    <w:p>
      <w:pPr>
        <w:spacing w:after="0" w:line="252"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g. This Agreement may be executed in two or more identical counterparts, all of which shall be considered one and the same agreement and shall become effective when counterparts have been signed by each party and delivered to the other party; provided that a facsimile signature or signature delivered by e-mail in a “.pdf” format data file, including any electronic signature complying with the U.S. federal ESIGN Act of 2000, e.g., www.docusign.com, www.echosign.adobe.com, etc., shall be considered due execution and shall be binding upon the signatory thereto with the same force and effect as if the signature were an original signature.</w:t>
      </w:r>
    </w:p>
    <w:p>
      <w:pPr>
        <w:spacing w:after="0" w:line="210"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h.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203"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i. The language used in this Agreement will be deemed to be the language chosen by the parties to express their mutual intent and no rules of strict construction will be applied against any party. The term “or” shall not be exclusive.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parties have caused this Registration Rights Agreement to be duly executed as of the Execution Date.</w:t>
      </w:r>
    </w:p>
    <w:p>
      <w:pPr>
        <w:spacing w:after="0" w:line="37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JAGUAR HEALTH,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Lisa A. Conte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Lisa A. Conte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Executive Officer and President</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C/M Capital Master Fund,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Thomas 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Thomas Walsh</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WVP Emerging Manager Onshore Fund, LLC</w:t>
      </w: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Thomas 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Thomas Walsh</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760"/>
          </w:cols>
          <w:pgMar w:left="880" w:top="266" w:right="1259"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TO REGISTRATION RIGHTS AGREEMENT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NOTICE OF EFFECTIVENESS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REGISTRATION STATEMENT</w:t>
      </w:r>
    </w:p>
    <w:p>
      <w:pPr>
        <w:sectPr>
          <w:pgSz w:w="11900" w:h="16838" w:orient="portrait"/>
          <w:cols w:equalWidth="0" w:num="1">
            <w:col w:w="9019"/>
          </w:cols>
          <w:pgMar w:left="1440" w:top="266" w:right="1440" w:bottom="1440" w:gutter="0" w:footer="0" w:header="0"/>
        </w:sectPr>
      </w:pPr>
    </w:p>
    <w:bookmarkStart w:id="202" w:name="page203"/>
    <w:bookmarkEnd w:id="2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TO REGISTRATION RIGHTS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Information About The Investor Furnished To The Company By The Investor</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Expressly For Use In Connection With The Registration Statement</w:t>
      </w:r>
    </w:p>
    <w:sectPr>
      <w:pgSz w:w="11900" w:h="16838" w:orient="portrait"/>
      <w:cols w:equalWidth="0" w:num="1">
        <w:col w:w="9019"/>
      </w:cols>
      <w:pgMar w:left="1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C1016F"/>
    <w:multiLevelType w:val="hybridMultilevel"/>
    <w:lvl w:ilvl="0">
      <w:lvlJc w:val="left"/>
      <w:lvlText w:val="☐"/>
      <w:numFmt w:val="bullet"/>
      <w:start w:val="1"/>
    </w:lvl>
  </w:abstractNum>
  <w:abstractNum w:abstractNumId="1">
    <w:nsid w:val="43F18422"/>
    <w:multiLevelType w:val="hybridMultilevel"/>
    <w:lvl w:ilvl="0">
      <w:lvlJc w:val="left"/>
      <w:lvlText w:val="(%1)"/>
      <w:numFmt w:val="lowerRoman"/>
      <w:start w:val="1"/>
    </w:lvl>
  </w:abstractNum>
  <w:abstractNum w:abstractNumId="2">
    <w:nsid w:val="60EF0119"/>
    <w:multiLevelType w:val="hybridMultilevel"/>
    <w:lvl w:ilvl="0">
      <w:lvlJc w:val="left"/>
      <w:lvlText w:val="(%1)"/>
      <w:numFmt w:val="lowerRoman"/>
      <w:start w:val="1"/>
    </w:lvl>
  </w:abstractNum>
  <w:abstractNum w:abstractNumId="3">
    <w:nsid w:val="26F324BA"/>
    <w:multiLevelType w:val="hybridMultilevel"/>
    <w:lvl w:ilvl="0">
      <w:lvlJc w:val="left"/>
      <w:lvlText w:val="(%1)"/>
      <w:numFmt w:val="lowerRoman"/>
      <w:start w:val="5"/>
    </w:lvl>
  </w:abstractNum>
  <w:abstractNum w:abstractNumId="4">
    <w:nsid w:val="7F01579B"/>
    <w:multiLevelType w:val="hybridMultilevel"/>
    <w:lvl w:ilvl="0">
      <w:lvlJc w:val="left"/>
      <w:lvlText w:val=" "/>
      <w:numFmt w:val="bullet"/>
      <w:start w:val="1"/>
    </w:lvl>
  </w:abstractNum>
  <w:abstractNum w:abstractNumId="5">
    <w:nsid w:val="49DA307D"/>
    <w:multiLevelType w:val="hybridMultilevel"/>
    <w:lvl w:ilvl="0">
      <w:lvlJc w:val="left"/>
      <w:lvlText w:val="%1."/>
      <w:numFmt w:val="decimal"/>
      <w:start w:val="1"/>
    </w:lvl>
  </w:abstractNum>
  <w:abstractNum w:abstractNumId="6">
    <w:nsid w:val="7055A5F5"/>
    <w:multiLevelType w:val="hybridMultilevel"/>
    <w:lvl w:ilvl="0">
      <w:lvlJc w:val="left"/>
      <w:lvlText w:val="(%1)"/>
      <w:numFmt w:val="lowerRoman"/>
      <w:start w:val="7"/>
    </w:lvl>
  </w:abstractNum>
  <w:abstractNum w:abstractNumId="7">
    <w:nsid w:val="5FB8370B"/>
    <w:multiLevelType w:val="hybridMultilevel"/>
    <w:lvl w:ilvl="0">
      <w:lvlJc w:val="left"/>
      <w:lvlText w:val="(%1)"/>
      <w:numFmt w:val="lowerLetter"/>
      <w:start w:val="2"/>
    </w:lvl>
  </w:abstractNum>
  <w:abstractNum w:abstractNumId="8">
    <w:nsid w:val="50801EE1"/>
    <w:multiLevelType w:val="hybridMultilevel"/>
    <w:lvl w:ilvl="0">
      <w:lvlJc w:val="left"/>
      <w:lvlText w:val="(%1)"/>
      <w:numFmt w:val="lowerLetter"/>
      <w:start w:val="1"/>
    </w:lvl>
  </w:abstractNum>
  <w:abstractNum w:abstractNumId="9">
    <w:nsid w:val="488AC1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
    <w:nsid w:val="5FB8011C"/>
    <w:multiLevelType w:val="hybridMultilevel"/>
    <w:lvl w:ilvl="0">
      <w:lvlJc w:val="left"/>
      <w:lvlText w:val="(%1)"/>
      <w:numFmt w:val="lowerLetter"/>
      <w:start w:val="3"/>
    </w:lvl>
  </w:abstractNum>
  <w:abstractNum w:abstractNumId="11">
    <w:nsid w:val="6AA78F7F"/>
    <w:multiLevelType w:val="hybridMultilevel"/>
    <w:lvl w:ilvl="0">
      <w:lvlJc w:val="left"/>
      <w:lvlText w:val="(%1)"/>
      <w:numFmt w:val="lowerLetter"/>
      <w:start w:val="1"/>
    </w:lvl>
    <w:lvl w:ilvl="1">
      <w:lvlJc w:val="left"/>
      <w:lvlText w:val="(%2)"/>
      <w:numFmt w:val="lowerLetter"/>
      <w:start w:val="9"/>
    </w:lvl>
  </w:abstractNum>
  <w:abstractNum w:abstractNumId="12">
    <w:nsid w:val="7672BD23"/>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24"/>
    </w:lvl>
  </w:abstractNum>
  <w:abstractNum w:abstractNumId="13">
    <w:nsid w:val="6FC75AF8"/>
    <w:multiLevelType w:val="hybridMultilevel"/>
    <w:lvl w:ilvl="0">
      <w:lvlJc w:val="left"/>
      <w:lvlText w:val="(%1)"/>
      <w:numFmt w:val="lowerLetter"/>
      <w:start w:val="2"/>
    </w:lvl>
    <w:lvl w:ilvl="1">
      <w:lvlJc w:val="left"/>
      <w:lvlText w:val="(%2)"/>
      <w:numFmt w:val="lowerLetter"/>
      <w:start w:val="9"/>
    </w:lvl>
    <w:lvl w:ilvl="2">
      <w:lvlJc w:val="left"/>
      <w:lvlText w:val="%3"/>
      <w:numFmt w:val="lowerLetter"/>
      <w:start w:val="1"/>
    </w:lvl>
  </w:abstractNum>
  <w:abstractNum w:abstractNumId="14">
    <w:nsid w:val="6A5F7029"/>
    <w:multiLevelType w:val="hybridMultilevel"/>
    <w:lvl w:ilvl="0">
      <w:lvlJc w:val="left"/>
      <w:lvlText w:val="(%1)"/>
      <w:numFmt w:val="lowerLetter"/>
      <w:start w:val="35"/>
    </w:lvl>
    <w:lvl w:ilvl="1">
      <w:lvlJc w:val="left"/>
      <w:lvlText w:val="(%2)"/>
      <w:numFmt w:val="lowerLetter"/>
      <w:start w:val="24"/>
    </w:lvl>
  </w:abstractNum>
  <w:abstractNum w:abstractNumId="15">
    <w:nsid w:val="7D5E18F8"/>
    <w:multiLevelType w:val="hybridMultilevel"/>
    <w:lvl w:ilvl="0">
      <w:lvlJc w:val="left"/>
      <w:lvlText w:val="(%1)"/>
      <w:numFmt w:val="lowerLetter"/>
      <w:start w:val="3"/>
    </w:lvl>
  </w:abstractNum>
  <w:abstractNum w:abstractNumId="16">
    <w:nsid w:val="5F3534A4"/>
    <w:multiLevelType w:val="hybridMultilevel"/>
    <w:lvl w:ilvl="0">
      <w:lvlJc w:val="left"/>
      <w:lvlText w:val="(%1)"/>
      <w:numFmt w:val="lowerLetter"/>
      <w:start w:val="1"/>
    </w:lvl>
  </w:abstractNum>
  <w:abstractNum w:abstractNumId="17">
    <w:nsid w:val="73A1821B"/>
    <w:multiLevelType w:val="hybridMultilevel"/>
    <w:lvl w:ilvl="0">
      <w:lvlJc w:val="left"/>
      <w:lvlText w:val="(%1)"/>
      <w:numFmt w:val="lowerLetter"/>
      <w:start w:val="2"/>
    </w:lvl>
  </w:abstractNum>
  <w:abstractNum w:abstractNumId="18">
    <w:nsid w:val="7DE67713"/>
    <w:multiLevelType w:val="hybridMultilevel"/>
    <w:lvl w:ilvl="0">
      <w:lvlJc w:val="left"/>
      <w:lvlText w:val="%1"/>
      <w:numFmt w:val="lowerLetter"/>
      <w:start w:val="1"/>
    </w:lvl>
    <w:lvl w:ilvl="1">
      <w:lvlJc w:val="left"/>
      <w:lvlText w:val="(%2)"/>
      <w:numFmt w:val="lowerLetter"/>
      <w:start w:val="1"/>
    </w:lvl>
  </w:abstractNum>
  <w:abstractNum w:abstractNumId="19">
    <w:nsid w:val="555C55B5"/>
    <w:multiLevelType w:val="hybridMultilevel"/>
    <w:lvl w:ilvl="0">
      <w:lvlJc w:val="left"/>
      <w:lvlText w:val="(%1)"/>
      <w:numFmt w:val="lowerLetter"/>
      <w:start w:val="24"/>
    </w:lvl>
    <w:lvl w:ilvl="1">
      <w:lvlJc w:val="left"/>
      <w:lvlText w:val="%2"/>
      <w:numFmt w:val="lowerLetter"/>
      <w:start w:val="1"/>
    </w:lvl>
  </w:abstractNum>
  <w:abstractNum w:abstractNumId="20">
    <w:nsid w:val="3FA62ACA"/>
    <w:multiLevelType w:val="hybridMultilevel"/>
    <w:lvl w:ilvl="0">
      <w:lvlJc w:val="left"/>
      <w:lvlText w:val="%1"/>
      <w:numFmt w:val="decimal"/>
      <w:start w:val="1"/>
    </w:lvl>
    <w:lvl w:ilvl="1">
      <w:lvlJc w:val="left"/>
      <w:lvlText w:val="(%2)"/>
      <w:numFmt w:val="lowerRoman"/>
      <w:start w:val="1"/>
    </w:lvl>
  </w:abstractNum>
  <w:abstractNum w:abstractNumId="21">
    <w:nsid w:val="14FCE74E"/>
    <w:multiLevelType w:val="hybridMultilevel"/>
    <w:lvl w:ilvl="0">
      <w:lvlJc w:val="left"/>
      <w:lvlText w:val="(%1)"/>
      <w:numFmt w:val="decimal"/>
      <w:start w:val="3"/>
    </w:lvl>
    <w:lvl w:ilvl="1">
      <w:lvlJc w:val="left"/>
      <w:lvlText w:val="%2"/>
      <w:numFmt w:val="lowerRoman"/>
      <w:start w:val="1"/>
    </w:lvl>
  </w:abstractNum>
  <w:abstractNum w:abstractNumId="22">
    <w:nsid w:val="6A3DD3E8"/>
    <w:multiLevelType w:val="hybridMultilevel"/>
    <w:lvl w:ilvl="0">
      <w:lvlJc w:val="left"/>
      <w:lvlText w:val="(%1)"/>
      <w:numFmt w:val="lowerRoman"/>
      <w:start w:val="8"/>
    </w:lvl>
  </w:abstractNum>
  <w:abstractNum w:abstractNumId="23">
    <w:nsid w:val="71C91298"/>
    <w:multiLevelType w:val="hybridMultilevel"/>
    <w:lvl w:ilvl="0">
      <w:lvlJc w:val="left"/>
      <w:lvlText w:val="(%1)"/>
      <w:numFmt w:val="lowerRoman"/>
      <w:start w:val="12"/>
    </w:lvl>
  </w:abstractNum>
  <w:abstractNum w:abstractNumId="24">
    <w:nsid w:val="9DAF632"/>
    <w:multiLevelType w:val="hybridMultilevel"/>
    <w:lvl w:ilvl="0">
      <w:lvlJc w:val="left"/>
      <w:lvlText w:val="(%1)"/>
      <w:numFmt w:val="lowerLetter"/>
      <w:start w:val="2"/>
    </w:lvl>
  </w:abstractNum>
  <w:abstractNum w:abstractNumId="25">
    <w:nsid w:val="53299938"/>
    <w:multiLevelType w:val="hybridMultilevel"/>
    <w:lvl w:ilvl="0">
      <w:lvlJc w:val="left"/>
      <w:lvlText w:val="(%1)"/>
      <w:numFmt w:val="lowerLetter"/>
      <w:start w:val="1"/>
    </w:lvl>
  </w:abstractNum>
  <w:abstractNum w:abstractNumId="26">
    <w:nsid w:val="1FBFE8E0"/>
    <w:multiLevelType w:val="hybridMultilevel"/>
    <w:lvl w:ilvl="0">
      <w:lvlJc w:val="left"/>
      <w:lvlText w:val="(%1)"/>
      <w:numFmt w:val="lowerLetter"/>
      <w:start w:val="2"/>
    </w:lvl>
  </w:abstractNum>
  <w:abstractNum w:abstractNumId="27">
    <w:nsid w:val="5092CA79"/>
    <w:multiLevelType w:val="hybridMultilevel"/>
    <w:lvl w:ilvl="0">
      <w:lvlJc w:val="left"/>
      <w:lvlText w:val="(%1)"/>
      <w:numFmt w:val="lowerLetter"/>
      <w:start w:val="9"/>
    </w:lvl>
  </w:abstractNum>
  <w:abstractNum w:abstractNumId="28">
    <w:nsid w:val="1D545C4D"/>
    <w:multiLevelType w:val="hybridMultilevel"/>
    <w:lvl w:ilvl="0">
      <w:lvlJc w:val="left"/>
      <w:lvlText w:val="%1)"/>
      <w:numFmt w:val="lowerLetter"/>
      <w:start w:val="1"/>
    </w:lvl>
  </w:abstractNum>
  <w:abstractNum w:abstractNumId="29">
    <w:nsid w:val="59ADEA3D"/>
    <w:multiLevelType w:val="hybridMultilevel"/>
    <w:lvl w:ilvl="0">
      <w:lvlJc w:val="left"/>
      <w:lvlText w:val="%1)"/>
      <w:numFmt w:val="lowerLetter"/>
      <w:start w:val="2"/>
    </w:lvl>
  </w:abstractNum>
  <w:abstractNum w:abstractNumId="30">
    <w:nsid w:val="288F1A34"/>
    <w:multiLevelType w:val="hybridMultilevel"/>
    <w:lvl w:ilvl="0">
      <w:lvlJc w:val="left"/>
      <w:lvlText w:val="(%1)"/>
      <w:numFmt w:val="decimal"/>
      <w:start w:val="1"/>
    </w:lvl>
  </w:abstractNum>
  <w:abstractNum w:abstractNumId="31">
    <w:nsid w:val="2A155DBC"/>
    <w:multiLevelType w:val="hybridMultilevel"/>
    <w:lvl w:ilvl="0">
      <w:lvlJc w:val="left"/>
      <w:lvlText w:val="%1)"/>
      <w:numFmt w:val="lowerLetter"/>
      <w:start w:val="4"/>
    </w:lvl>
  </w:abstractNum>
  <w:abstractNum w:abstractNumId="32">
    <w:nsid w:val="1D9F6E5F"/>
    <w:multiLevelType w:val="hybridMultilevel"/>
    <w:lvl w:ilvl="0">
      <w:lvlJc w:val="left"/>
      <w:lvlText w:val="%1."/>
      <w:numFmt w:val="lowerRoman"/>
      <w:start w:val="2"/>
    </w:lvl>
  </w:abstractNum>
  <w:abstractNum w:abstractNumId="33">
    <w:nsid w:val="97E1B4E"/>
    <w:multiLevelType w:val="hybridMultilevel"/>
    <w:lvl w:ilvl="0">
      <w:lvlJc w:val="left"/>
      <w:lvlText w:val="%1."/>
      <w:numFmt w:val="lowerRoman"/>
      <w:start w:val="6"/>
    </w:lvl>
  </w:abstractNum>
  <w:abstractNum w:abstractNumId="34">
    <w:nsid w:val="51088277"/>
    <w:multiLevelType w:val="hybridMultilevel"/>
    <w:lvl w:ilvl="0">
      <w:lvlJc w:val="left"/>
      <w:lvlText w:val="%1)"/>
      <w:numFmt w:val="lowerLetter"/>
      <w:start w:val="5"/>
    </w:lvl>
  </w:abstractNum>
  <w:abstractNum w:abstractNumId="35">
    <w:nsid w:val="1CA0C5FA"/>
    <w:multiLevelType w:val="hybridMultilevel"/>
    <w:lvl w:ilvl="0">
      <w:lvlJc w:val="left"/>
      <w:lvlText w:val="%1)"/>
      <w:numFmt w:val="lowerLetter"/>
      <w:start w:val="1"/>
    </w:lvl>
  </w:abstractNum>
  <w:abstractNum w:abstractNumId="36">
    <w:nsid w:val="53584BCB"/>
    <w:multiLevelType w:val="hybridMultilevel"/>
    <w:lvl w:ilvl="0">
      <w:lvlJc w:val="left"/>
      <w:lvlText w:val="%1)"/>
      <w:numFmt w:val="lowerLetter"/>
      <w:start w:val="4"/>
    </w:lvl>
  </w:abstractNum>
  <w:abstractNum w:abstractNumId="37">
    <w:nsid w:val="415E286C"/>
    <w:multiLevelType w:val="hybridMultilevel"/>
    <w:lvl w:ilvl="0">
      <w:lvlJc w:val="left"/>
      <w:lvlText w:val="%1)"/>
      <w:numFmt w:val="lowerLetter"/>
      <w:start w:val="5"/>
    </w:lvl>
  </w:abstractNum>
  <w:abstractNum w:abstractNumId="38">
    <w:nsid w:val="7C58FD05"/>
    <w:multiLevelType w:val="hybridMultilevel"/>
    <w:lvl w:ilvl="0">
      <w:lvlJc w:val="left"/>
      <w:lvlText w:val="%1"/>
      <w:numFmt w:val="upperLetter"/>
      <w:start w:val="1"/>
    </w:lvl>
    <w:lvl w:ilvl="1">
      <w:lvlJc w:val="left"/>
      <w:lvlText w:val="%2."/>
      <w:numFmt w:val="lowerRoman"/>
      <w:start w:val="2"/>
    </w:lvl>
  </w:abstractNum>
  <w:abstractNum w:abstractNumId="39">
    <w:nsid w:val="23D86AAC"/>
    <w:multiLevelType w:val="hybridMultilevel"/>
    <w:lvl w:ilvl="0">
      <w:lvlJc w:val="left"/>
      <w:lvlText w:val="(%1)"/>
      <w:numFmt w:val="upperLetter"/>
      <w:start w:val="4"/>
    </w:lvl>
    <w:lvl w:ilvl="1">
      <w:lvlJc w:val="left"/>
      <w:lvlText w:val="%2"/>
      <w:numFmt w:val="lowerRoman"/>
      <w:start w:val="1"/>
    </w:lvl>
  </w:abstractNum>
  <w:abstractNum w:abstractNumId="40">
    <w:nsid w:val="45E6D486"/>
    <w:multiLevelType w:val="hybridMultilevel"/>
    <w:lvl w:ilvl="0">
      <w:lvlJc w:val="left"/>
      <w:lvlText w:val="%1)"/>
      <w:numFmt w:val="lowerLetter"/>
      <w:start w:val="7"/>
    </w:lvl>
  </w:abstractNum>
  <w:abstractNum w:abstractNumId="41">
    <w:nsid w:val="5C10FE21"/>
    <w:multiLevelType w:val="hybridMultilevel"/>
    <w:lvl w:ilvl="0">
      <w:lvlJc w:val="left"/>
      <w:lvlText w:val="%1)"/>
      <w:numFmt w:val="lowerLetter"/>
      <w:start w:val="1"/>
    </w:lvl>
  </w:abstractNum>
  <w:abstractNum w:abstractNumId="42">
    <w:nsid w:val="E7FFA2B"/>
    <w:multiLevelType w:val="hybridMultilevel"/>
    <w:lvl w:ilvl="0">
      <w:lvlJc w:val="left"/>
      <w:lvlText w:val="%1)"/>
      <w:numFmt w:val="lowerLetter"/>
      <w:start w:val="2"/>
    </w:lvl>
  </w:abstractNum>
  <w:abstractNum w:abstractNumId="43">
    <w:nsid w:val="3C5991AA"/>
    <w:multiLevelType w:val="hybridMultilevel"/>
    <w:lvl w:ilvl="0">
      <w:lvlJc w:val="left"/>
      <w:lvlText w:val="%1)"/>
      <w:numFmt w:val="lowerLetter"/>
      <w:start w:val="1"/>
    </w:lvl>
  </w:abstractNum>
  <w:abstractNum w:abstractNumId="44">
    <w:nsid w:val="4BD8591A"/>
    <w:multiLevelType w:val="hybridMultilevel"/>
    <w:lvl w:ilvl="0">
      <w:lvlJc w:val="left"/>
      <w:lvlText w:val="%1)"/>
      <w:numFmt w:val="lowerLetter"/>
      <w:start w:val="5"/>
    </w:lvl>
  </w:abstractNum>
  <w:abstractNum w:abstractNumId="45">
    <w:nsid w:val="78DF6A55"/>
    <w:multiLevelType w:val="hybridMultilevel"/>
    <w:lvl w:ilvl="0">
      <w:lvlJc w:val="left"/>
      <w:lvlText w:val="%1)"/>
      <w:numFmt w:val="lowerLetter"/>
      <w:start w:val="9"/>
    </w:lvl>
  </w:abstractNum>
  <w:abstractNum w:abstractNumId="46">
    <w:nsid w:val="39B7AAA2"/>
    <w:multiLevelType w:val="hybridMultilevel"/>
    <w:lvl w:ilvl="0">
      <w:lvlJc w:val="left"/>
      <w:lvlText w:val="☐"/>
      <w:numFmt w:val="bullet"/>
      <w:start w:val="1"/>
    </w:lvl>
    <w:lvl w:ilvl="1">
      <w:lvlJc w:val="left"/>
      <w:lvlText w:val="(%2)"/>
      <w:numFmt w:val="decimal"/>
      <w:start w:val="2"/>
    </w:lvl>
  </w:abstractNum>
  <w:abstractNum w:abstractNumId="47">
    <w:nsid w:val="2B0D8DBE"/>
    <w:multiLevelType w:val="hybridMultilevel"/>
    <w:lvl w:ilvl="0">
      <w:lvlJc w:val="left"/>
      <w:lvlText w:val="☐"/>
      <w:numFmt w:val="bullet"/>
      <w:start w:val="1"/>
    </w:lvl>
    <w:lvl w:ilvl="1">
      <w:lvlJc w:val="left"/>
      <w:lvlText w:val="(%2)"/>
      <w:numFmt w:val="decimal"/>
      <w:start w:val="3"/>
    </w:lvl>
  </w:abstractNum>
  <w:abstractNum w:abstractNumId="48">
    <w:nsid w:val="6C80EC70"/>
    <w:multiLevelType w:val="hybridMultilevel"/>
    <w:lvl w:ilvl="0">
      <w:lvlJc w:val="left"/>
      <w:lvlText w:val="%1)"/>
      <w:numFmt w:val="lowerLetter"/>
      <w:start w:val="1"/>
    </w:lvl>
  </w:abstractNum>
  <w:abstractNum w:abstractNumId="49">
    <w:nsid w:val="379E21B5"/>
    <w:multiLevelType w:val="hybridMultilevel"/>
    <w:lvl w:ilvl="0">
      <w:lvlJc w:val="left"/>
      <w:lvlText w:val="%1)"/>
      <w:numFmt w:val="lowerLetter"/>
      <w:start w:val="2"/>
    </w:lvl>
  </w:abstractNum>
  <w:abstractNum w:abstractNumId="50">
    <w:nsid w:val="69E373"/>
    <w:multiLevelType w:val="hybridMultilevel"/>
    <w:lvl w:ilvl="0">
      <w:lvlJc w:val="left"/>
      <w:lvlText w:val="%1)"/>
      <w:numFmt w:val="lowerLetter"/>
      <w:start w:val="4"/>
    </w:lvl>
  </w:abstractNum>
  <w:abstractNum w:abstractNumId="51">
    <w:nsid w:val="2C27173B"/>
    <w:multiLevelType w:val="hybridMultilevel"/>
    <w:lvl w:ilvl="0">
      <w:lvlJc w:val="left"/>
      <w:lvlText w:val="%1."/>
      <w:numFmt w:val="lowerRoman"/>
      <w:start w:val="2"/>
    </w:lvl>
  </w:abstractNum>
  <w:abstractNum w:abstractNumId="52">
    <w:nsid w:val="4C9B0904"/>
    <w:multiLevelType w:val="hybridMultilevel"/>
    <w:lvl w:ilvl="0">
      <w:lvlJc w:val="left"/>
      <w:lvlText w:val="%1."/>
      <w:numFmt w:val="lowerRoman"/>
      <w:start w:val="6"/>
    </w:lvl>
  </w:abstractNum>
  <w:abstractNum w:abstractNumId="53">
    <w:nsid w:val="6AA7B75C"/>
    <w:multiLevelType w:val="hybridMultilevel"/>
    <w:lvl w:ilvl="0">
      <w:lvlJc w:val="left"/>
      <w:lvlText w:val="%1)"/>
      <w:numFmt w:val="lowerLetter"/>
      <w:start w:val="5"/>
    </w:lvl>
  </w:abstractNum>
  <w:abstractNum w:abstractNumId="54">
    <w:nsid w:val="1DF029D3"/>
    <w:multiLevelType w:val="hybridMultilevel"/>
    <w:lvl w:ilvl="0">
      <w:lvlJc w:val="left"/>
      <w:lvlText w:val="%1)"/>
      <w:numFmt w:val="lowerLetter"/>
      <w:start w:val="1"/>
    </w:lvl>
  </w:abstractNum>
  <w:abstractNum w:abstractNumId="55">
    <w:nsid w:val="5675FF36"/>
    <w:multiLevelType w:val="hybridMultilevel"/>
    <w:lvl w:ilvl="0">
      <w:lvlJc w:val="left"/>
      <w:lvlText w:val="%1)"/>
      <w:numFmt w:val="lowerLetter"/>
      <w:start w:val="4"/>
    </w:lvl>
  </w:abstractNum>
  <w:abstractNum w:abstractNumId="56">
    <w:nsid w:val="3DD15094"/>
    <w:multiLevelType w:val="hybridMultilevel"/>
    <w:lvl w:ilvl="0">
      <w:lvlJc w:val="left"/>
      <w:lvlText w:val="%1)"/>
      <w:numFmt w:val="lowerLetter"/>
      <w:start w:val="5"/>
    </w:lvl>
  </w:abstractNum>
  <w:abstractNum w:abstractNumId="57">
    <w:nsid w:val="3DB012B3"/>
    <w:multiLevelType w:val="hybridMultilevel"/>
    <w:lvl w:ilvl="0">
      <w:lvlJc w:val="left"/>
      <w:lvlText w:val="%1"/>
      <w:numFmt w:val="upperLetter"/>
      <w:start w:val="1"/>
    </w:lvl>
    <w:lvl w:ilvl="1">
      <w:lvlJc w:val="left"/>
      <w:lvlText w:val="%2."/>
      <w:numFmt w:val="lowerRoman"/>
      <w:start w:val="2"/>
    </w:lvl>
  </w:abstractNum>
  <w:abstractNum w:abstractNumId="58">
    <w:nsid w:val="2708C9AF"/>
    <w:multiLevelType w:val="hybridMultilevel"/>
    <w:lvl w:ilvl="0">
      <w:lvlJc w:val="left"/>
      <w:lvlText w:val="(%1)"/>
      <w:numFmt w:val="upperLetter"/>
      <w:start w:val="4"/>
    </w:lvl>
    <w:lvl w:ilvl="1">
      <w:lvlJc w:val="left"/>
      <w:lvlText w:val="%2"/>
      <w:numFmt w:val="lowerRoman"/>
      <w:start w:val="1"/>
    </w:lvl>
  </w:abstractNum>
  <w:abstractNum w:abstractNumId="59">
    <w:nsid w:val="5B25ACE2"/>
    <w:multiLevelType w:val="hybridMultilevel"/>
    <w:lvl w:ilvl="0">
      <w:lvlJc w:val="left"/>
      <w:lvlText w:val="%1)"/>
      <w:numFmt w:val="lowerLetter"/>
      <w:start w:val="7"/>
    </w:lvl>
  </w:abstractNum>
  <w:abstractNum w:abstractNumId="60">
    <w:nsid w:val="175DFCF0"/>
    <w:multiLevelType w:val="hybridMultilevel"/>
    <w:lvl w:ilvl="0">
      <w:lvlJc w:val="left"/>
      <w:lvlText w:val="%1)"/>
      <w:numFmt w:val="lowerLetter"/>
      <w:start w:val="1"/>
    </w:lvl>
  </w:abstractNum>
  <w:abstractNum w:abstractNumId="61">
    <w:nsid w:val="4F97E3E4"/>
    <w:multiLevelType w:val="hybridMultilevel"/>
    <w:lvl w:ilvl="0">
      <w:lvlJc w:val="left"/>
      <w:lvlText w:val="%1)"/>
      <w:numFmt w:val="lowerLetter"/>
      <w:start w:val="2"/>
    </w:lvl>
  </w:abstractNum>
  <w:abstractNum w:abstractNumId="62">
    <w:nsid w:val="53B0A9E"/>
    <w:multiLevelType w:val="hybridMultilevel"/>
    <w:lvl w:ilvl="0">
      <w:lvlJc w:val="left"/>
      <w:lvlText w:val="%1)"/>
      <w:numFmt w:val="lowerLetter"/>
      <w:start w:val="1"/>
    </w:lvl>
  </w:abstractNum>
  <w:abstractNum w:abstractNumId="63">
    <w:nsid w:val="34FD6B4F"/>
    <w:multiLevelType w:val="hybridMultilevel"/>
    <w:lvl w:ilvl="0">
      <w:lvlJc w:val="left"/>
      <w:lvlText w:val="%1)"/>
      <w:numFmt w:val="lowerLetter"/>
      <w:start w:val="5"/>
    </w:lvl>
  </w:abstractNum>
  <w:abstractNum w:abstractNumId="64">
    <w:nsid w:val="5915FF32"/>
    <w:multiLevelType w:val="hybridMultilevel"/>
    <w:lvl w:ilvl="0">
      <w:lvlJc w:val="left"/>
      <w:lvlText w:val="%1)"/>
      <w:numFmt w:val="lowerLetter"/>
      <w:start w:val="9"/>
    </w:lvl>
  </w:abstractNum>
  <w:abstractNum w:abstractNumId="65">
    <w:nsid w:val="56438D15"/>
    <w:multiLevelType w:val="hybridMultilevel"/>
    <w:lvl w:ilvl="0">
      <w:lvlJc w:val="left"/>
      <w:lvlText w:val="☐"/>
      <w:numFmt w:val="bullet"/>
      <w:start w:val="1"/>
    </w:lvl>
    <w:lvl w:ilvl="1">
      <w:lvlJc w:val="left"/>
      <w:lvlText w:val="(%2)"/>
      <w:numFmt w:val="decimal"/>
      <w:start w:val="2"/>
    </w:lvl>
  </w:abstractNum>
  <w:abstractNum w:abstractNumId="66">
    <w:nsid w:val="519E3149"/>
    <w:multiLevelType w:val="hybridMultilevel"/>
    <w:lvl w:ilvl="0">
      <w:lvlJc w:val="left"/>
      <w:lvlText w:val="☐"/>
      <w:numFmt w:val="bullet"/>
      <w:start w:val="1"/>
    </w:lvl>
    <w:lvl w:ilvl="1">
      <w:lvlJc w:val="left"/>
      <w:lvlText w:val="(%2)"/>
      <w:numFmt w:val="decimal"/>
      <w:start w:val="3"/>
    </w:lvl>
  </w:abstractNum>
  <w:abstractNum w:abstractNumId="67">
    <w:nsid w:val="2C6E4AFD"/>
    <w:multiLevelType w:val="hybridMultilevel"/>
    <w:lvl w:ilvl="0">
      <w:lvlJc w:val="left"/>
      <w:lvlText w:val="(%1)"/>
      <w:numFmt w:val="lowerRoman"/>
      <w:start w:val="2"/>
    </w:lvl>
  </w:abstractNum>
  <w:abstractNum w:abstractNumId="68">
    <w:nsid w:val="17A1B582"/>
    <w:multiLevelType w:val="hybridMultilevel"/>
    <w:lvl w:ilvl="0">
      <w:lvlJc w:val="left"/>
      <w:lvlText w:val="(%1)"/>
      <w:numFmt w:val="lowerRoman"/>
      <w:start w:val="3"/>
    </w:lvl>
  </w:abstractNum>
  <w:abstractNum w:abstractNumId="69">
    <w:nsid w:val="4DF72E4E"/>
    <w:multiLevelType w:val="hybridMultilevel"/>
    <w:lvl w:ilvl="0">
      <w:lvlJc w:val="left"/>
      <w:lvlText w:val="(%1)"/>
      <w:numFmt w:val="lowerRoman"/>
      <w:start w:val="1"/>
    </w:lvl>
  </w:abstractNum>
  <w:abstractNum w:abstractNumId="70">
    <w:nsid w:val="5046B5A9"/>
    <w:multiLevelType w:val="hybridMultilevel"/>
    <w:lvl w:ilvl="0">
      <w:lvlJc w:val="left"/>
      <w:lvlText w:val="(%1)"/>
      <w:numFmt w:val="lowerRoman"/>
      <w:start w:val="2"/>
    </w:lvl>
  </w:abstractNum>
  <w:abstractNum w:abstractNumId="71">
    <w:nsid w:val="5D888A08"/>
    <w:multiLevelType w:val="hybridMultilevel"/>
    <w:lvl w:ilvl="0">
      <w:lvlJc w:val="left"/>
      <w:lvlText w:val="(%1)"/>
      <w:numFmt w:val="lowerLetter"/>
      <w:start w:val="2"/>
    </w:lvl>
  </w:abstractNum>
  <w:abstractNum w:abstractNumId="72">
    <w:nsid w:val="2A082C70"/>
    <w:multiLevelType w:val="hybridMultilevel"/>
    <w:lvl w:ilvl="0">
      <w:lvlJc w:val="left"/>
      <w:lvlText w:val="(%1)"/>
      <w:numFmt w:val="upperLetter"/>
      <w:start w:val="2"/>
    </w:lvl>
  </w:abstractNum>
  <w:abstractNum w:abstractNumId="73">
    <w:nsid w:val="5EC6AFD4"/>
    <w:multiLevelType w:val="hybridMultilevel"/>
    <w:lvl w:ilvl="0">
      <w:lvlJc w:val="left"/>
      <w:lvlText w:val="(%1)"/>
      <w:numFmt w:val="lowerLetter"/>
      <w:start w:val="3"/>
    </w:lvl>
  </w:abstractNum>
  <w:abstractNum w:abstractNumId="74">
    <w:nsid w:val="19E21BB2"/>
    <w:multiLevelType w:val="hybridMultilevel"/>
    <w:lvl w:ilvl="0">
      <w:lvlJc w:val="left"/>
      <w:lvlText w:val="(%1)"/>
      <w:numFmt w:val="lowerLetter"/>
      <w:start w:val="2"/>
    </w:lvl>
  </w:abstractNum>
  <w:abstractNum w:abstractNumId="75">
    <w:nsid w:val="75E0858A"/>
    <w:multiLevelType w:val="hybridMultilevel"/>
    <w:lvl w:ilvl="0">
      <w:lvlJc w:val="left"/>
      <w:lvlText w:val="(%1)"/>
      <w:numFmt w:val="lowerRoman"/>
      <w:start w:val="3"/>
    </w:lvl>
  </w:abstractNum>
  <w:abstractNum w:abstractNumId="76">
    <w:nsid w:val="57A61A29"/>
    <w:multiLevelType w:val="hybridMultilevel"/>
    <w:lvl w:ilvl="0">
      <w:lvlJc w:val="left"/>
      <w:lvlText w:val="(%1)"/>
      <w:numFmt w:val="lowerRoman"/>
      <w:start w:val="5"/>
    </w:lvl>
  </w:abstractNum>
  <w:abstractNum w:abstractNumId="77">
    <w:nsid w:val="5399C654"/>
    <w:multiLevelType w:val="hybridMultilevel"/>
    <w:lvl w:ilvl="0">
      <w:lvlJc w:val="left"/>
      <w:lvlText w:val="(%1)"/>
      <w:numFmt w:val="lowerLetter"/>
      <w:start w:val="2"/>
    </w:lvl>
    <w:lvl w:ilvl="1">
      <w:lvlJc w:val="left"/>
      <w:lvlText w:val="(%2)"/>
      <w:numFmt w:val="lowerLetter"/>
      <w:start w:val="9"/>
    </w:lvl>
  </w:abstractNum>
  <w:abstractNum w:abstractNumId="78">
    <w:nsid w:val="20EE1348"/>
    <w:multiLevelType w:val="hybridMultilevel"/>
    <w:lvl w:ilvl="0">
      <w:lvlJc w:val="left"/>
      <w:lvlText w:val="(%1)"/>
      <w:numFmt w:val="decimal"/>
      <w:start w:val="2"/>
    </w:lvl>
  </w:abstractNum>
  <w:abstractNum w:abstractNumId="79">
    <w:nsid w:val="4427069A"/>
    <w:multiLevelType w:val="hybridMultilevel"/>
    <w:lvl w:ilvl="0">
      <w:lvlJc w:val="left"/>
      <w:lvlText w:val="(%1)"/>
      <w:numFmt w:val="lowerRoman"/>
      <w:start w:val="2"/>
    </w:lvl>
  </w:abstractNum>
  <w:abstractNum w:abstractNumId="80">
    <w:nsid w:val="B37E80A"/>
    <w:multiLevelType w:val="hybridMultilevel"/>
    <w:lvl w:ilvl="0">
      <w:lvlJc w:val="left"/>
      <w:lvlText w:val="%1."/>
      <w:numFmt w:val="decimal"/>
      <w:start w:val="1"/>
    </w:lvl>
  </w:abstractNum>
  <w:abstractNum w:abstractNumId="81">
    <w:nsid w:val="2157F6BC"/>
    <w:multiLevelType w:val="hybridMultilevel"/>
    <w:lvl w:ilvl="0">
      <w:lvlJc w:val="left"/>
      <w:lvlText w:val="%1."/>
      <w:numFmt w:val="decimal"/>
      <w:start w:val="1"/>
    </w:lvl>
  </w:abstractNum>
  <w:abstractNum w:abstractNumId="82">
    <w:nsid w:val="704E1DD5"/>
    <w:multiLevelType w:val="hybridMultilevel"/>
    <w:lvl w:ilvl="0">
      <w:lvlJc w:val="left"/>
      <w:lvlText w:val="%1"/>
      <w:numFmt w:val="decimal"/>
      <w:start w:val="1"/>
    </w:lvl>
    <w:lvl w:ilvl="1">
      <w:lvlJc w:val="left"/>
      <w:lvlText w:val="%2."/>
      <w:numFmt w:val="decimal"/>
      <w:start w:val="1"/>
    </w:lvl>
  </w:abstractNum>
  <w:abstractNum w:abstractNumId="83">
    <w:nsid w:val="57D2F10E"/>
    <w:multiLevelType w:val="hybridMultilevel"/>
    <w:lvl w:ilvl="0">
      <w:lvlJc w:val="left"/>
      <w:lvlText w:val="%1."/>
      <w:numFmt w:val="decimal"/>
      <w:start w:val="2"/>
    </w:lvl>
    <w:lvl w:ilvl="1">
      <w:lvlJc w:val="left"/>
      <w:lvlText w:val="%2"/>
      <w:numFmt w:val="decimal"/>
      <w:start w:val="1"/>
    </w:lvl>
  </w:abstractNum>
  <w:abstractNum w:abstractNumId="84">
    <w:nsid w:val="BFFAE18"/>
    <w:multiLevelType w:val="hybridMultilevel"/>
    <w:lvl w:ilvl="0">
      <w:lvlJc w:val="left"/>
      <w:lvlText w:val="%1"/>
      <w:numFmt w:val="decimal"/>
      <w:start w:val="1"/>
    </w:lvl>
    <w:lvl w:ilvl="1">
      <w:lvlJc w:val="left"/>
      <w:lvlText w:val="%2."/>
      <w:numFmt w:val="decimal"/>
      <w:start w:val="3"/>
    </w:lvl>
  </w:abstractNum>
  <w:abstractNum w:abstractNumId="85">
    <w:nsid w:val="E3E47A8"/>
    <w:multiLevelType w:val="hybridMultilevel"/>
    <w:lvl w:ilvl="0">
      <w:lvlJc w:val="left"/>
      <w:lvlText w:val="%1."/>
      <w:numFmt w:val="decimal"/>
      <w:start w:val="4"/>
    </w:lvl>
    <w:lvl w:ilvl="1">
      <w:lvlJc w:val="left"/>
      <w:lvlText w:val="%2"/>
      <w:numFmt w:val="decimal"/>
      <w:start w:val="1"/>
    </w:lvl>
  </w:abstractNum>
  <w:abstractNum w:abstractNumId="86">
    <w:nsid w:val="2E48F044"/>
    <w:multiLevelType w:val="hybridMultilevel"/>
    <w:lvl w:ilvl="0">
      <w:lvlJc w:val="left"/>
      <w:lvlText w:val="%1"/>
      <w:numFmt w:val="decimal"/>
      <w:start w:val="1"/>
    </w:lvl>
    <w:lvl w:ilvl="1">
      <w:lvlJc w:val="left"/>
      <w:lvlText w:val="%2."/>
      <w:numFmt w:val="decimal"/>
      <w:start w:val="5"/>
    </w:lvl>
  </w:abstractNum>
  <w:abstractNum w:abstractNumId="87">
    <w:nsid w:val="49D0FEAC"/>
    <w:multiLevelType w:val="hybridMultilevel"/>
    <w:lvl w:ilvl="0">
      <w:lvlJc w:val="left"/>
      <w:lvlText w:val="%1."/>
      <w:numFmt w:val="decimal"/>
      <w:start w:val="6"/>
    </w:lvl>
    <w:lvl w:ilvl="1">
      <w:lvlJc w:val="left"/>
      <w:lvlText w:val="%2"/>
      <w:numFmt w:val="decimal"/>
      <w:start w:val="1"/>
    </w:lvl>
  </w:abstractNum>
  <w:abstractNum w:abstractNumId="88">
    <w:nsid w:val="4BEE5A5B"/>
    <w:multiLevelType w:val="hybridMultilevel"/>
    <w:lvl w:ilvl="0">
      <w:lvlJc w:val="left"/>
      <w:lvlText w:val="%1"/>
      <w:numFmt w:val="decimal"/>
      <w:start w:val="1"/>
    </w:lvl>
    <w:lvl w:ilvl="1">
      <w:lvlJc w:val="left"/>
      <w:lvlText w:val="%2."/>
      <w:numFmt w:val="decimal"/>
      <w:start w:val="7"/>
    </w:lvl>
  </w:abstractNum>
  <w:abstractNum w:abstractNumId="89">
    <w:nsid w:val="5551B9F3"/>
    <w:multiLevelType w:val="hybridMultilevel"/>
    <w:lvl w:ilvl="0">
      <w:lvlJc w:val="left"/>
      <w:lvlText w:val="%1."/>
      <w:numFmt w:val="decimal"/>
      <w:start w:val="8"/>
    </w:lvl>
    <w:lvl w:ilvl="1">
      <w:lvlJc w:val="left"/>
      <w:lvlText w:val="%2"/>
      <w:numFmt w:val="decimal"/>
      <w:start w:val="1"/>
    </w:lvl>
  </w:abstractNum>
  <w:abstractNum w:abstractNumId="90">
    <w:nsid w:val="24F6AB8E"/>
    <w:multiLevelType w:val="hybridMultilevel"/>
    <w:lvl w:ilvl="0">
      <w:lvlJc w:val="left"/>
      <w:lvlText w:val="%1."/>
      <w:numFmt w:val="decimal"/>
      <w:start w:val="1"/>
    </w:lvl>
  </w:abstractNum>
  <w:abstractNum w:abstractNumId="91">
    <w:nsid w:val="634C574C"/>
    <w:multiLevelType w:val="hybridMultilevel"/>
    <w:lvl w:ilvl="0">
      <w:lvlJc w:val="left"/>
      <w:lvlText w:val="%1."/>
      <w:numFmt w:val="decimal"/>
      <w:start w:val="2"/>
    </w:lvl>
    <w:lvl w:ilvl="1">
      <w:lvlJc w:val="left"/>
      <w:lvlText w:val="%2."/>
      <w:numFmt w:val="lowerLetter"/>
      <w:start w:val="1"/>
    </w:lvl>
  </w:abstractNum>
  <w:abstractNum w:abstractNumId="92">
    <w:nsid w:val="24E99DD7"/>
    <w:multiLevelType w:val="hybridMultilevel"/>
    <w:lvl w:ilvl="0">
      <w:lvlJc w:val="left"/>
      <w:lvlText w:val="%1."/>
      <w:numFmt w:val="decimal"/>
      <w:start w:val="3"/>
    </w:lvl>
  </w:abstractNum>
  <w:abstractNum w:abstractNumId="93">
    <w:nsid w:val="2A31B62D"/>
    <w:multiLevelType w:val="hybridMultilevel"/>
    <w:lvl w:ilvl="0">
      <w:lvlJc w:val="left"/>
      <w:lvlText w:val="(%1)"/>
      <w:numFmt w:val="lowerRoman"/>
      <w:start w:val="2"/>
    </w:lvl>
    <w:lvl w:ilvl="1">
      <w:lvlJc w:val="left"/>
      <w:lvlText w:val="%2."/>
      <w:numFmt w:val="lowerLetter"/>
      <w:start w:val="5"/>
    </w:lvl>
  </w:abstractNum>
  <w:abstractNum w:abstractNumId="94">
    <w:nsid w:val="1849C29B"/>
    <w:multiLevelType w:val="hybridMultilevel"/>
    <w:lvl w:ilvl="0">
      <w:lvlJc w:val="left"/>
      <w:lvlText w:val="(%1)"/>
      <w:numFmt w:val="lowerRoman"/>
      <w:start w:val="1"/>
    </w:lvl>
    <w:lvl w:ilvl="1">
      <w:lvlJc w:val="left"/>
      <w:lvlText w:val="%2."/>
      <w:numFmt w:val="lowerLetter"/>
      <w:start w:val="9"/>
    </w:lvl>
  </w:abstractNum>
  <w:abstractNum w:abstractNumId="95">
    <w:nsid w:val="7DFF9D09"/>
    <w:multiLevelType w:val="hybridMultilevel"/>
    <w:lvl w:ilvl="0">
      <w:lvlJc w:val="left"/>
      <w:lvlText w:val="(%1)"/>
      <w:numFmt w:val="lowerRoman"/>
      <w:start w:val="2"/>
    </w:lvl>
    <w:lvl w:ilvl="1">
      <w:lvlJc w:val="left"/>
      <w:lvlText w:val="%2."/>
      <w:numFmt w:val="decimal"/>
      <w:start w:val="3"/>
    </w:lvl>
    <w:lvl w:ilvl="2">
      <w:lvlJc w:val="left"/>
      <w:lvlText w:val="%3."/>
      <w:numFmt w:val="lowerLetter"/>
      <w:start w:val="14"/>
    </w:lvl>
  </w:abstractNum>
  <w:abstractNum w:abstractNumId="96">
    <w:nsid w:val="754342"/>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97">
    <w:nsid w:val="69E7F3E5"/>
    <w:multiLevelType w:val="hybridMultilevel"/>
    <w:lvl w:ilvl="0">
      <w:lvlJc w:val="left"/>
      <w:lvlText w:val="%1."/>
      <w:numFmt w:val="decimal"/>
      <w:start w:val="5"/>
    </w:lvl>
  </w:abstractNum>
  <w:abstractNum w:abstractNumId="98">
    <w:nsid w:val="2A6DE806"/>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99">
    <w:nsid w:val="1816F8C4"/>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00">
    <w:nsid w:val="37DF2233"/>
    <w:multiLevelType w:val="hybridMultilevel"/>
    <w:lvl w:ilvl="0">
      <w:lvlJc w:val="left"/>
      <w:lvlText w:val="%1."/>
      <w:numFmt w:val="decimal"/>
      <w:start w:val="7"/>
    </w:lvl>
  </w:abstractNum>
  <w:abstractNum w:abstractNumId="101">
    <w:nsid w:val="7AB49DAF"/>
    <w:multiLevelType w:val="hybridMultilevel"/>
    <w:lvl w:ilvl="0">
      <w:lvlJc w:val="left"/>
      <w:lvlText w:val="(%1)"/>
      <w:numFmt w:val="lowerRoman"/>
      <w:start w:val="2"/>
    </w:lvl>
  </w:abstractNum>
  <w:abstractNum w:abstractNumId="102">
    <w:nsid w:val="759F82CD"/>
    <w:multiLevelType w:val="hybridMultilevel"/>
    <w:lvl w:ilvl="0">
      <w:lvlJc w:val="left"/>
      <w:lvlText w:val="%1."/>
      <w:numFmt w:val="decimal"/>
      <w:start w:val="8"/>
    </w:lvl>
  </w:abstractNum>
  <w:abstractNum w:abstractNumId="103">
    <w:nsid w:val="61E74EA3"/>
    <w:multiLevelType w:val="hybridMultilevel"/>
    <w:lvl w:ilvl="0">
      <w:lvlJc w:val="left"/>
      <w:lvlText w:val="%1."/>
      <w:numFmt w:val="decimal"/>
      <w:start w:val="9"/>
    </w:lvl>
  </w:abstractNum>
  <w:abstractNum w:abstractNumId="104">
    <w:nsid w:val="597B4D84"/>
    <w:multiLevelType w:val="hybridMultilevel"/>
    <w:lvl w:ilvl="0">
      <w:lvlJc w:val="left"/>
      <w:lvlText w:val="%1."/>
      <w:numFmt w:val="decimal"/>
      <w:start w:val="10"/>
    </w:lvl>
  </w:abstractNum>
  <w:abstractNum w:abstractNumId="105">
    <w:nsid w:val="F819E7F"/>
    <w:multiLevelType w:val="hybridMultilevel"/>
    <w:lvl w:ilvl="0">
      <w:lvlJc w:val="left"/>
      <w:lvlText w:val="%1."/>
      <w:numFmt w:val="decimal"/>
      <w:start w:val="11"/>
    </w:lvl>
    <w:lvl w:ilvl="1">
      <w:lvlJc w:val="left"/>
      <w:lvlText w:val="%2."/>
      <w:numFmt w:val="lowerLetter"/>
      <w:start w:val="1"/>
    </w:lvl>
  </w:abstractNum>
  <w:abstractNum w:abstractNumId="106">
    <w:nsid w:val="57C7D42D"/>
    <w:multiLevelType w:val="hybridMultilevel"/>
    <w:lvl w:ilvl="0">
      <w:lvlJc w:val="left"/>
      <w:lvlText w:val="%1."/>
      <w:numFmt w:val="upperLetter"/>
      <w:start w:val="1"/>
    </w:lvl>
  </w:abstractNum>
  <w:abstractNum w:abstractNumId="107">
    <w:nsid w:val="312167AD"/>
    <w:multiLevelType w:val="hybridMultilevel"/>
    <w:lvl w:ilvl="0">
      <w:lvlJc w:val="left"/>
      <w:lvlText w:val="%1."/>
      <w:numFmt w:val="decimal"/>
      <w:start w:val="1"/>
    </w:lvl>
    <w:lvl w:ilvl="1">
      <w:lvlJc w:val="left"/>
      <w:lvlText w:val="(%2)"/>
      <w:numFmt w:val="lowerLetter"/>
      <w:start w:val="1"/>
    </w:lvl>
  </w:abstractNum>
  <w:abstractNum w:abstractNumId="108">
    <w:nsid w:val="631B64D4"/>
    <w:multiLevelType w:val="hybridMultilevel"/>
    <w:lvl w:ilvl="0">
      <w:lvlJc w:val="left"/>
      <w:lvlText w:val="(%1)"/>
      <w:numFmt w:val="lowerLetter"/>
      <w:start w:val="2"/>
    </w:lvl>
  </w:abstractNum>
  <w:abstractNum w:abstractNumId="109">
    <w:nsid w:val="78B5E776"/>
    <w:multiLevelType w:val="hybridMultilevel"/>
    <w:lvl w:ilvl="0">
      <w:lvlJc w:val="left"/>
      <w:lvlText w:val="%1."/>
      <w:numFmt w:val="decimal"/>
      <w:start w:val="2"/>
    </w:lvl>
    <w:lvl w:ilvl="1">
      <w:lvlJc w:val="left"/>
      <w:lvlText w:val="(%2)"/>
      <w:numFmt w:val="lowerLetter"/>
      <w:start w:val="1"/>
    </w:lvl>
  </w:abstractNum>
  <w:abstractNum w:abstractNumId="110">
    <w:nsid w:val="75486E47"/>
    <w:multiLevelType w:val="hybridMultilevel"/>
    <w:lvl w:ilvl="0">
      <w:lvlJc w:val="left"/>
      <w:lvlText w:val="(%1)"/>
      <w:numFmt w:val="lowerLetter"/>
      <w:start w:val="5"/>
    </w:lvl>
  </w:abstractNum>
  <w:abstractNum w:abstractNumId="111">
    <w:nsid w:val="6E534CDE"/>
    <w:multiLevelType w:val="hybridMultilevel"/>
    <w:lvl w:ilvl="0">
      <w:lvlJc w:val="left"/>
      <w:lvlText w:val="(%1)"/>
      <w:numFmt w:val="lowerLetter"/>
      <w:start w:val="9"/>
    </w:lvl>
  </w:abstractNum>
  <w:abstractNum w:abstractNumId="112">
    <w:nsid w:val="1A0DDE32"/>
    <w:multiLevelType w:val="hybridMultilevel"/>
    <w:lvl w:ilvl="0">
      <w:lvlJc w:val="left"/>
      <w:lvlText w:val="%1."/>
      <w:numFmt w:val="decimal"/>
      <w:start w:val="3"/>
    </w:lvl>
  </w:abstractNum>
  <w:abstractNum w:abstractNumId="113">
    <w:nsid w:val="65968C1C"/>
    <w:multiLevelType w:val="hybridMultilevel"/>
    <w:lvl w:ilvl="0">
      <w:lvlJc w:val="left"/>
      <w:lvlText w:val="(%1)"/>
      <w:numFmt w:val="lowerLetter"/>
      <w:start w:val="1"/>
    </w:lvl>
  </w:abstractNum>
  <w:abstractNum w:abstractNumId="114">
    <w:nsid w:val="46263DEC"/>
    <w:multiLevelType w:val="hybridMultilevel"/>
    <w:lvl w:ilvl="0">
      <w:lvlJc w:val="left"/>
      <w:lvlText w:val="(%1)"/>
      <w:numFmt w:val="lowerLetter"/>
      <w:start w:val="3"/>
    </w:lvl>
  </w:abstractNum>
  <w:abstractNum w:abstractNumId="115">
    <w:nsid w:val="260D8C4A"/>
    <w:multiLevelType w:val="hybridMultilevel"/>
    <w:lvl w:ilvl="0">
      <w:lvlJc w:val="left"/>
      <w:lvlText w:val="(%1)"/>
      <w:numFmt w:val="lowerLetter"/>
      <w:start w:val="6"/>
    </w:lvl>
  </w:abstractNum>
  <w:abstractNum w:abstractNumId="116">
    <w:nsid w:val="73D4D3C4"/>
    <w:multiLevelType w:val="hybridMultilevel"/>
    <w:lvl w:ilvl="0">
      <w:lvlJc w:val="left"/>
      <w:lvlText w:val="(%1)"/>
      <w:numFmt w:val="lowerLetter"/>
      <w:start w:val="9"/>
    </w:lvl>
  </w:abstractNum>
  <w:abstractNum w:abstractNumId="117">
    <w:nsid w:val="746F2E30"/>
    <w:multiLevelType w:val="hybridMultilevel"/>
    <w:lvl w:ilvl="0">
      <w:lvlJc w:val="left"/>
      <w:lvlText w:val="(%1)"/>
      <w:numFmt w:val="lowerLetter"/>
      <w:start w:val="13"/>
    </w:lvl>
  </w:abstractNum>
  <w:abstractNum w:abstractNumId="118">
    <w:nsid w:val="6FDE8AF6"/>
    <w:multiLevelType w:val="hybridMultilevel"/>
    <w:lvl w:ilvl="0">
      <w:lvlJc w:val="left"/>
      <w:lvlText w:val="(%1)"/>
      <w:numFmt w:val="lowerLetter"/>
      <w:start w:val="15"/>
    </w:lvl>
    <w:lvl w:ilvl="1">
      <w:lvlJc w:val="left"/>
      <w:lvlText w:val="%2."/>
      <w:numFmt w:val="lowerRoman"/>
      <w:start w:val="1"/>
    </w:lvl>
  </w:abstractNum>
  <w:abstractNum w:abstractNumId="119">
    <w:nsid w:val="3FC32E20"/>
    <w:multiLevelType w:val="hybridMultilevel"/>
    <w:lvl w:ilvl="0">
      <w:lvlJc w:val="left"/>
      <w:lvlText w:val="(%1)"/>
      <w:numFmt w:val="lowerLetter"/>
      <w:start w:val="18"/>
    </w:lvl>
    <w:lvl w:ilvl="1">
      <w:lvlJc w:val="left"/>
      <w:lvlText w:val="%2."/>
      <w:numFmt w:val="lowerRoman"/>
      <w:start w:val="1"/>
    </w:lvl>
  </w:abstractNum>
  <w:abstractNum w:abstractNumId="120">
    <w:nsid w:val="49C0E82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abstractNum>
  <w:abstractNum w:abstractNumId="121">
    <w:nsid w:val="14D53685"/>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122">
    <w:nsid w:val="230F856C"/>
    <w:multiLevelType w:val="hybridMultilevel"/>
    <w:lvl w:ilvl="0">
      <w:lvlJc w:val="left"/>
      <w:lvlText w:val="(%1)"/>
      <w:numFmt w:val="lowerLetter"/>
      <w:start w:val="19"/>
    </w:lvl>
    <w:lvl w:ilvl="1">
      <w:lvlJc w:val="left"/>
      <w:lvlText w:val="%2"/>
      <w:numFmt w:val="lowerRoman"/>
      <w:start w:val="1"/>
    </w:lvl>
    <w:lvl w:ilvl="2">
      <w:lvlJc w:val="left"/>
      <w:lvlText w:val="%3"/>
      <w:numFmt w:val="upperLetter"/>
      <w:start w:val="1"/>
    </w:lvl>
  </w:abstractNum>
  <w:abstractNum w:abstractNumId="123">
    <w:nsid w:val="6EAA85FB"/>
    <w:multiLevelType w:val="hybridMultilevel"/>
    <w:lvl w:ilvl="0">
      <w:lvlJc w:val="left"/>
      <w:lvlText w:val="(%1)"/>
      <w:numFmt w:val="lowerLetter"/>
      <w:start w:val="20"/>
    </w:lvl>
  </w:abstractNum>
  <w:abstractNum w:abstractNumId="124">
    <w:nsid w:val="3F06ECB2"/>
    <w:multiLevelType w:val="hybridMultilevel"/>
    <w:lvl w:ilvl="0">
      <w:lvlJc w:val="left"/>
      <w:lvlText w:val="(%1)"/>
      <w:numFmt w:val="lowerLetter"/>
      <w:start w:val="23"/>
    </w:lvl>
  </w:abstractNum>
  <w:abstractNum w:abstractNumId="125">
    <w:nsid w:val="3B594807"/>
    <w:multiLevelType w:val="hybridMultilevel"/>
    <w:lvl w:ilvl="0">
      <w:lvlJc w:val="left"/>
      <w:lvlText w:val="%1"/>
      <w:numFmt w:val="lowerRoman"/>
      <w:start w:val="1"/>
    </w:lvl>
    <w:lvl w:ilvl="1">
      <w:lvlJc w:val="left"/>
      <w:lvlText w:val="%2."/>
      <w:numFmt w:val="lowerRoman"/>
      <w:start w:val="1"/>
    </w:lvl>
  </w:abstractNum>
  <w:abstractNum w:abstractNumId="126">
    <w:nsid w:val="6CAA2304"/>
    <w:multiLevelType w:val="hybridMultilevel"/>
    <w:lvl w:ilvl="0">
      <w:lvlJc w:val="left"/>
      <w:lvlText w:val="(%1)"/>
      <w:numFmt w:val="lowerRoman"/>
      <w:start w:val="10"/>
    </w:lvl>
    <w:lvl w:ilvl="1">
      <w:lvlJc w:val="left"/>
      <w:lvlText w:val="%2"/>
      <w:numFmt w:val="lowerRoman"/>
      <w:start w:val="1"/>
    </w:lvl>
  </w:abstractNum>
  <w:abstractNum w:abstractNumId="127">
    <w:nsid w:val="3F7C2FF4"/>
    <w:multiLevelType w:val="hybridMultilevel"/>
    <w:lvl w:ilvl="0">
      <w:lvlJc w:val="left"/>
      <w:lvlText w:val="(%1)"/>
      <w:numFmt w:val="lowerLetter"/>
      <w:start w:val="25"/>
    </w:lvl>
    <w:lvl w:ilvl="1">
      <w:lvlJc w:val="left"/>
      <w:lvlText w:val="%2."/>
      <w:numFmt w:val="lowerRoman"/>
      <w:start w:val="1"/>
    </w:lvl>
    <w:lvl w:ilvl="2">
      <w:lvlJc w:val="left"/>
      <w:lvlText w:val="(%3)"/>
      <w:numFmt w:val="upperLetter"/>
      <w:start w:val="1"/>
    </w:lvl>
  </w:abstractNum>
  <w:abstractNum w:abstractNumId="128">
    <w:nsid w:val="25413BEC"/>
    <w:multiLevelType w:val="hybridMultilevel"/>
    <w:lvl w:ilvl="0">
      <w:lvlJc w:val="left"/>
      <w:lvlText w:val="(%1)"/>
      <w:numFmt w:val="lowerLetter"/>
      <w:start w:val="27"/>
    </w:lvl>
  </w:abstractNum>
  <w:abstractNum w:abstractNumId="129">
    <w:nsid w:val="17180B0B"/>
    <w:multiLevelType w:val="hybridMultilevel"/>
    <w:lvl w:ilvl="0">
      <w:lvlJc w:val="left"/>
      <w:lvlText w:val="(%1)"/>
      <w:numFmt w:val="lowerLetter"/>
      <w:start w:val="31"/>
    </w:lvl>
  </w:abstractNum>
  <w:abstractNum w:abstractNumId="130">
    <w:nsid w:val="579328B9"/>
    <w:multiLevelType w:val="hybridMultilevel"/>
    <w:lvl w:ilvl="0">
      <w:lvlJc w:val="left"/>
      <w:lvlText w:val="(%1)"/>
      <w:numFmt w:val="lowerLetter"/>
      <w:start w:val="35"/>
    </w:lvl>
    <w:lvl w:ilvl="1">
      <w:lvlJc w:val="left"/>
      <w:lvlText w:val="(%2)"/>
      <w:numFmt w:val="lowerRoman"/>
      <w:start w:val="2"/>
    </w:lvl>
    <w:lvl w:ilvl="2">
      <w:lvlJc w:val="left"/>
      <w:lvlText w:val="%3."/>
      <w:numFmt w:val="lowerRoman"/>
      <w:start w:val="1"/>
    </w:lvl>
  </w:abstractNum>
  <w:abstractNum w:abstractNumId="131">
    <w:nsid w:val="5D205E20"/>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132">
    <w:nsid w:val="11CCA8BA"/>
    <w:multiLevelType w:val="hybridMultilevel"/>
    <w:lvl w:ilvl="0">
      <w:lvlJc w:val="left"/>
      <w:lvlText w:val="(%1)"/>
      <w:numFmt w:val="lowerLetter"/>
      <w:start w:val="41"/>
    </w:lvl>
    <w:lvl w:ilvl="1">
      <w:lvlJc w:val="left"/>
      <w:lvlText w:val="%2"/>
      <w:numFmt w:val="lowerRoman"/>
      <w:start w:val="1"/>
    </w:lvl>
    <w:lvl w:ilvl="2">
      <w:lvlJc w:val="left"/>
      <w:lvlText w:val="%3"/>
      <w:numFmt w:val="decimal"/>
      <w:start w:val="1"/>
    </w:lvl>
  </w:abstractNum>
  <w:abstractNum w:abstractNumId="133">
    <w:nsid w:val="4D32AB86"/>
    <w:multiLevelType w:val="hybridMultilevel"/>
    <w:lvl w:ilvl="0">
      <w:lvlJc w:val="left"/>
      <w:lvlText w:val="(%1)"/>
      <w:numFmt w:val="lowerLetter"/>
      <w:start w:val="43"/>
    </w:lvl>
  </w:abstractNum>
  <w:abstractNum w:abstractNumId="134">
    <w:nsid w:val="3F07ACC3"/>
    <w:multiLevelType w:val="hybridMultilevel"/>
    <w:lvl w:ilvl="0">
      <w:lvlJc w:val="left"/>
      <w:lvlText w:val="%1."/>
      <w:numFmt w:val="decimal"/>
      <w:start w:val="4"/>
    </w:lvl>
    <w:lvl w:ilvl="1">
      <w:lvlJc w:val="left"/>
      <w:lvlText w:val="(%2)"/>
      <w:numFmt w:val="lowerLetter"/>
      <w:start w:val="1"/>
    </w:lvl>
  </w:abstractNum>
  <w:abstractNum w:abstractNumId="135">
    <w:nsid w:val="6B47F63E"/>
    <w:multiLevelType w:val="hybridMultilevel"/>
    <w:lvl w:ilvl="0">
      <w:lvlJc w:val="left"/>
      <w:lvlText w:val="(%1)"/>
      <w:numFmt w:val="lowerLetter"/>
      <w:start w:val="5"/>
    </w:lvl>
  </w:abstractNum>
  <w:abstractNum w:abstractNumId="136">
    <w:nsid w:val="5CB44A05"/>
    <w:multiLevelType w:val="hybridMultilevel"/>
    <w:lvl w:ilvl="0">
      <w:lvlJc w:val="left"/>
      <w:lvlText w:val="(%1)"/>
      <w:numFmt w:val="lowerRoman"/>
      <w:start w:val="1"/>
    </w:lvl>
    <w:lvl w:ilvl="1">
      <w:lvlJc w:val="left"/>
      <w:lvlText w:val="%2."/>
      <w:numFmt w:val="lowerRoman"/>
      <w:start w:val="1"/>
    </w:lvl>
  </w:abstractNum>
  <w:abstractNum w:abstractNumId="137">
    <w:nsid w:val="16CF80F1"/>
    <w:multiLevelType w:val="hybridMultilevel"/>
    <w:lvl w:ilvl="0">
      <w:lvlJc w:val="left"/>
      <w:lvlText w:val="(%1)"/>
      <w:numFmt w:val="lowerLetter"/>
      <w:start w:val="10"/>
    </w:lvl>
  </w:abstractNum>
  <w:abstractNum w:abstractNumId="138">
    <w:nsid w:val="1C695DEC"/>
    <w:multiLevelType w:val="hybridMultilevel"/>
    <w:lvl w:ilvl="0">
      <w:lvlJc w:val="left"/>
      <w:lvlText w:val="(%1)"/>
      <w:numFmt w:val="lowerLetter"/>
      <w:start w:val="12"/>
    </w:lvl>
    <w:lvl w:ilvl="1">
      <w:lvlJc w:val="left"/>
      <w:lvlText w:val="%2."/>
      <w:numFmt w:val="lowerRoman"/>
      <w:start w:val="1"/>
    </w:lvl>
  </w:abstractNum>
  <w:abstractNum w:abstractNumId="139">
    <w:nsid w:val="3FCFAED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140">
    <w:nsid w:val="F856867"/>
    <w:multiLevelType w:val="hybridMultilevel"/>
    <w:lvl w:ilvl="0">
      <w:lvlJc w:val="left"/>
      <w:lvlText w:val="(%1)"/>
      <w:numFmt w:val="lowerLetter"/>
      <w:start w:val="15"/>
    </w:lvl>
    <w:lvl w:ilvl="1">
      <w:lvlJc w:val="left"/>
      <w:lvlText w:val="%2."/>
      <w:numFmt w:val="lowerRoman"/>
      <w:start w:val="1"/>
    </w:lvl>
    <w:lvl w:ilvl="2">
      <w:lvlJc w:val="left"/>
      <w:lvlText w:val="%3"/>
      <w:numFmt w:val="lowerRoman"/>
      <w:start w:val="1"/>
    </w:lvl>
  </w:abstractNum>
  <w:abstractNum w:abstractNumId="141">
    <w:nsid w:val="11B1CC33"/>
    <w:multiLevelType w:val="hybridMultilevel"/>
    <w:lvl w:ilvl="0">
      <w:lvlJc w:val="left"/>
      <w:lvlText w:val="%1."/>
      <w:numFmt w:val="lowerRoman"/>
      <w:start w:val="3"/>
    </w:lvl>
  </w:abstractNum>
  <w:abstractNum w:abstractNumId="142">
    <w:nsid w:val="2E22FBB7"/>
    <w:multiLevelType w:val="hybridMultilevel"/>
    <w:lvl w:ilvl="0">
      <w:lvlJc w:val="left"/>
      <w:lvlText w:val="%1"/>
      <w:numFmt w:val="lowerLetter"/>
      <w:start w:val="1"/>
    </w:lvl>
    <w:lvl w:ilvl="1">
      <w:lvlJc w:val="left"/>
      <w:lvlText w:val="%2."/>
      <w:numFmt w:val="lowerRoman"/>
      <w:start w:val="8"/>
    </w:lvl>
    <w:lvl w:ilvl="2">
      <w:lvlJc w:val="left"/>
      <w:lvlText w:val="%3"/>
      <w:numFmt w:val="lowerRoman"/>
      <w:start w:val="1"/>
    </w:lvl>
  </w:abstractNum>
  <w:abstractNum w:abstractNumId="143">
    <w:nsid w:val="29934699"/>
    <w:multiLevelType w:val="hybridMultilevel"/>
    <w:lvl w:ilvl="0">
      <w:lvlJc w:val="left"/>
      <w:lvlText w:val="(%1)"/>
      <w:numFmt w:val="lowerLetter"/>
      <w:start w:val="14"/>
    </w:lvl>
    <w:lvl w:ilvl="1">
      <w:lvlJc w:val="left"/>
      <w:lvlText w:val="%2"/>
      <w:numFmt w:val="lowerRoman"/>
      <w:start w:val="1"/>
    </w:lvl>
    <w:lvl w:ilvl="2">
      <w:lvlJc w:val="left"/>
      <w:lvlText w:val="%3."/>
      <w:numFmt w:val="lowerRoman"/>
      <w:start w:val="3"/>
    </w:lvl>
  </w:abstractNum>
  <w:abstractNum w:abstractNumId="144">
    <w:nsid w:val="77485850"/>
    <w:multiLevelType w:val="hybridMultilevel"/>
    <w:lvl w:ilvl="0">
      <w:lvlJc w:val="left"/>
      <w:lvlText w:val="(%1)"/>
      <w:numFmt w:val="lowerLetter"/>
      <w:start w:val="16"/>
    </w:lvl>
  </w:abstractNum>
  <w:abstractNum w:abstractNumId="145">
    <w:nsid w:val="744939A3"/>
    <w:multiLevelType w:val="hybridMultilevel"/>
    <w:lvl w:ilvl="0">
      <w:lvlJc w:val="left"/>
      <w:lvlText w:val="(%1)"/>
      <w:numFmt w:val="lowerLetter"/>
      <w:start w:val="23"/>
    </w:lvl>
  </w:abstractNum>
  <w:abstractNum w:abstractNumId="146">
    <w:nsid w:val="4FA0D2E3"/>
    <w:multiLevelType w:val="hybridMultilevel"/>
    <w:lvl w:ilvl="0">
      <w:lvlJc w:val="left"/>
      <w:lvlText w:val="%1"/>
      <w:numFmt w:val="decimal"/>
      <w:start w:val="1"/>
    </w:lvl>
    <w:lvl w:ilvl="1">
      <w:lvlJc w:val="left"/>
      <w:lvlText w:val="(%2)"/>
      <w:numFmt w:val="lowerLetter"/>
      <w:start w:val="26"/>
    </w:lvl>
  </w:abstractNum>
  <w:abstractNum w:abstractNumId="147">
    <w:nsid w:val="6B1D2C14"/>
    <w:multiLevelType w:val="hybridMultilevel"/>
    <w:lvl w:ilvl="0">
      <w:lvlJc w:val="left"/>
      <w:lvlText w:val="%1."/>
      <w:numFmt w:val="decimal"/>
      <w:start w:val="5"/>
    </w:lvl>
    <w:lvl w:ilvl="1">
      <w:lvlJc w:val="left"/>
      <w:lvlText w:val="(%2)"/>
      <w:numFmt w:val="lowerLetter"/>
      <w:start w:val="1"/>
    </w:lvl>
  </w:abstractNum>
  <w:abstractNum w:abstractNumId="148">
    <w:nsid w:val="68B867D3"/>
    <w:multiLevelType w:val="hybridMultilevel"/>
    <w:lvl w:ilvl="0">
      <w:lvlJc w:val="left"/>
      <w:lvlText w:val="(%1)"/>
      <w:numFmt w:val="lowerLetter"/>
      <w:start w:val="3"/>
    </w:lvl>
  </w:abstractNum>
  <w:abstractNum w:abstractNumId="149">
    <w:nsid w:val="3F7F5DD9"/>
    <w:multiLevelType w:val="hybridMultilevel"/>
    <w:lvl w:ilvl="0">
      <w:lvlJc w:val="left"/>
      <w:lvlText w:val="(%1)"/>
      <w:numFmt w:val="lowerLetter"/>
      <w:start w:val="4"/>
    </w:lvl>
  </w:abstractNum>
  <w:abstractNum w:abstractNumId="150">
    <w:nsid w:val="2AE05A34"/>
    <w:multiLevelType w:val="hybridMultilevel"/>
    <w:lvl w:ilvl="0">
      <w:lvlJc w:val="left"/>
      <w:lvlText w:val="(%1)"/>
      <w:numFmt w:val="lowerLetter"/>
      <w:start w:val="5"/>
    </w:lvl>
  </w:abstractNum>
  <w:abstractNum w:abstractNumId="151">
    <w:nsid w:val="32794FF7"/>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lvl w:ilvl="3">
      <w:lvlJc w:val="left"/>
      <w:lvlText w:val="%4"/>
      <w:numFmt w:val="lowerLetter"/>
      <w:start w:val="1"/>
    </w:lvl>
  </w:abstractNum>
  <w:abstractNum w:abstractNumId="152">
    <w:nsid w:val="5454945E"/>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lvl w:ilvl="3">
      <w:lvlJc w:val="left"/>
      <w:lvlText w:val="%4"/>
      <w:numFmt w:val="lowerLetter"/>
      <w:start w:val="1"/>
    </w:lvl>
  </w:abstractNum>
  <w:abstractNum w:abstractNumId="153">
    <w:nsid w:val="4DEFDFA0"/>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lvl w:ilvl="3">
      <w:lvlJc w:val="left"/>
      <w:lvlText w:val="(%4)"/>
      <w:numFmt w:val="lowerLetter"/>
      <w:start w:val="9"/>
    </w:lvl>
  </w:abstractNum>
  <w:abstractNum w:abstractNumId="154">
    <w:nsid w:val="2123D5F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155">
    <w:nsid w:val="135B811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2"/>
    </w:lvl>
    <w:lvl w:ilvl="3">
      <w:lvlJc w:val="left"/>
      <w:lvlText w:val="(%4)"/>
      <w:numFmt w:val="lowerRoman"/>
      <w:start w:val="1"/>
    </w:lvl>
  </w:abstractNum>
  <w:abstractNum w:abstractNumId="156">
    <w:nsid w:val="94927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8"/>
    </w:lvl>
  </w:abstractNum>
  <w:abstractNum w:abstractNumId="157">
    <w:nsid w:val="DCDF8F6"/>
    <w:multiLevelType w:val="hybridMultilevel"/>
    <w:lvl w:ilvl="0">
      <w:lvlJc w:val="left"/>
      <w:lvlText w:val="%1"/>
      <w:numFmt w:val="decimal"/>
      <w:start w:val="1"/>
    </w:lvl>
    <w:lvl w:ilvl="1">
      <w:lvlJc w:val="left"/>
      <w:lvlText w:val="(%2)"/>
      <w:numFmt w:val="lowerRoman"/>
      <w:start w:val="9"/>
    </w:lvl>
  </w:abstractNum>
  <w:abstractNum w:abstractNumId="158">
    <w:nsid w:val="52D7B105"/>
    <w:multiLevelType w:val="hybridMultilevel"/>
    <w:lvl w:ilvl="0">
      <w:lvlJc w:val="left"/>
      <w:lvlText w:val="%1."/>
      <w:numFmt w:val="decimal"/>
      <w:start w:val="8"/>
    </w:lvl>
    <w:lvl w:ilvl="1">
      <w:lvlJc w:val="left"/>
      <w:lvlText w:val="%2"/>
      <w:numFmt w:val="lowerRoman"/>
      <w:start w:val="1"/>
    </w:lvl>
  </w:abstractNum>
  <w:abstractNum w:abstractNumId="159">
    <w:nsid w:val="2E8A6394"/>
    <w:multiLevelType w:val="hybridMultilevel"/>
    <w:lvl w:ilvl="0">
      <w:lvlJc w:val="left"/>
      <w:lvlText w:val="%1."/>
      <w:numFmt w:val="decimal"/>
      <w:start w:val="9"/>
    </w:lvl>
    <w:lvl w:ilvl="1">
      <w:lvlJc w:val="left"/>
      <w:lvlText w:val="(%2)"/>
      <w:numFmt w:val="lowerLetter"/>
      <w:start w:val="1"/>
    </w:lvl>
  </w:abstractNum>
  <w:abstractNum w:abstractNumId="160">
    <w:nsid w:val="24E60401"/>
    <w:multiLevelType w:val="hybridMultilevel"/>
    <w:lvl w:ilvl="0">
      <w:lvlJc w:val="left"/>
      <w:lvlText w:val="%1"/>
      <w:numFmt w:val="lowerLetter"/>
      <w:start w:val="1"/>
    </w:lvl>
    <w:lvl w:ilvl="1">
      <w:lvlJc w:val="left"/>
      <w:lvlText w:val="(%2)"/>
      <w:numFmt w:val="lowerLetter"/>
      <w:start w:val="1"/>
    </w:lvl>
  </w:abstractNum>
  <w:abstractNum w:abstractNumId="161">
    <w:nsid w:val="2A6AD9BE"/>
    <w:multiLevelType w:val="hybridMultilevel"/>
    <w:lvl w:ilvl="0">
      <w:lvlJc w:val="left"/>
      <w:lvlText w:val="(%1)"/>
      <w:numFmt w:val="lowerLetter"/>
      <w:start w:val="2"/>
    </w:lvl>
    <w:lvl w:ilvl="1">
      <w:lvlJc w:val="left"/>
      <w:lvlText w:val="%2"/>
      <w:numFmt w:val="lowerLetter"/>
      <w:start w:val="1"/>
    </w:lvl>
  </w:abstractNum>
  <w:abstractNum w:abstractNumId="162">
    <w:nsid w:val="BAAC1B4"/>
    <w:multiLevelType w:val="hybridMultilevel"/>
    <w:lvl w:ilvl="0">
      <w:lvlJc w:val="left"/>
      <w:lvlText w:val="(%1)"/>
      <w:numFmt w:val="lowerLetter"/>
      <w:start w:val="5"/>
    </w:lvl>
  </w:abstractNum>
  <w:abstractNum w:abstractNumId="163">
    <w:nsid w:val="36B2ACBC"/>
    <w:multiLevelType w:val="hybridMultilevel"/>
    <w:lvl w:ilvl="0">
      <w:lvlJc w:val="left"/>
      <w:lvlText w:val="(%1)"/>
      <w:numFmt w:val="lowerLetter"/>
      <w:start w:val="6"/>
    </w:lvl>
  </w:abstractNum>
  <w:abstractNum w:abstractNumId="164">
    <w:nsid w:val="779D8544"/>
    <w:multiLevelType w:val="hybridMultilevel"/>
    <w:lvl w:ilvl="0">
      <w:lvlJc w:val="left"/>
      <w:lvlText w:val="(%1)"/>
      <w:numFmt w:val="lowerLetter"/>
      <w:start w:val="7"/>
    </w:lvl>
  </w:abstractNum>
  <w:abstractNum w:abstractNumId="165">
    <w:nsid w:val="4AB26E78"/>
    <w:multiLevelType w:val="hybridMultilevel"/>
    <w:lvl w:ilvl="0">
      <w:lvlJc w:val="left"/>
      <w:lvlText w:val="(%1)"/>
      <w:numFmt w:val="lowerLetter"/>
      <w:start w:val="12"/>
    </w:lvl>
  </w:abstractNum>
  <w:abstractNum w:abstractNumId="166">
    <w:nsid w:val="21FAA2FA"/>
    <w:multiLevelType w:val="hybridMultilevel"/>
    <w:lvl w:ilvl="0">
      <w:lvlJc w:val="left"/>
      <w:lvlText w:val="(%1)"/>
      <w:numFmt w:val="lowerLetter"/>
      <w:start w:val="14"/>
    </w:lvl>
  </w:abstractNum>
  <w:abstractNum w:abstractNumId="167">
    <w:nsid w:val="5451CF49"/>
    <w:multiLevelType w:val="hybridMultilevel"/>
    <w:lvl w:ilvl="0">
      <w:lvlJc w:val="left"/>
      <w:lvlText w:val="#"/>
      <w:numFmt w:val="bullet"/>
      <w:start w:val="1"/>
    </w:lvl>
  </w:abstractNum>
  <w:abstractNum w:abstractNumId="168">
    <w:nsid w:val="6181EF69"/>
    <w:multiLevelType w:val="hybridMultilevel"/>
    <w:lvl w:ilvl="0">
      <w:lvlJc w:val="left"/>
      <w:lvlText w:val="%1."/>
      <w:numFmt w:val="decimal"/>
      <w:start w:val="1"/>
    </w:lvl>
  </w:abstractNum>
  <w:abstractNum w:abstractNumId="169">
    <w:nsid w:val="3E6400E6"/>
    <w:multiLevelType w:val="hybridMultilevel"/>
    <w:lvl w:ilvl="0">
      <w:lvlJc w:val="left"/>
      <w:lvlText w:val="%1."/>
      <w:numFmt w:val="decimal"/>
      <w:start w:val="2"/>
    </w:lvl>
    <w:lvl w:ilvl="1">
      <w:lvlJc w:val="left"/>
      <w:lvlText w:val="%2"/>
      <w:numFmt w:val="lowerLetter"/>
      <w:start w:val="1"/>
    </w:lvl>
  </w:abstractNum>
  <w:abstractNum w:abstractNumId="170">
    <w:nsid w:val="14217E23"/>
    <w:multiLevelType w:val="hybridMultilevel"/>
    <w:lvl w:ilvl="0">
      <w:lvlJc w:val="left"/>
      <w:lvlText w:val="%1."/>
      <w:numFmt w:val="decimal"/>
      <w:start w:val="3"/>
    </w:lvl>
  </w:abstractNum>
  <w:abstractNum w:abstractNumId="171">
    <w:nsid w:val="710757D0"/>
    <w:multiLevelType w:val="hybridMultilevel"/>
    <w:lvl w:ilvl="0">
      <w:lvlJc w:val="left"/>
      <w:lvlText w:val="(%1)"/>
      <w:numFmt w:val="lowerRoman"/>
      <w:start w:val="2"/>
    </w:lvl>
    <w:lvl w:ilvl="1">
      <w:lvlJc w:val="left"/>
      <w:lvlText w:val="%2."/>
      <w:numFmt w:val="lowerLetter"/>
      <w:start w:val="5"/>
    </w:lvl>
  </w:abstractNum>
  <w:abstractNum w:abstractNumId="172">
    <w:nsid w:val="5015CD1A"/>
    <w:multiLevelType w:val="hybridMultilevel"/>
    <w:lvl w:ilvl="0">
      <w:lvlJc w:val="left"/>
      <w:lvlText w:val="(%1)"/>
      <w:numFmt w:val="lowerRoman"/>
      <w:start w:val="3"/>
    </w:lvl>
    <w:lvl w:ilvl="1">
      <w:lvlJc w:val="left"/>
      <w:lvlText w:val="%2."/>
      <w:numFmt w:val="lowerLetter"/>
      <w:start w:val="6"/>
    </w:lvl>
  </w:abstractNum>
  <w:abstractNum w:abstractNumId="173">
    <w:nsid w:val="424479DA"/>
    <w:multiLevelType w:val="hybridMultilevel"/>
    <w:lvl w:ilvl="0">
      <w:lvlJc w:val="left"/>
      <w:lvlText w:val="(%1)"/>
      <w:numFmt w:val="lowerRoman"/>
      <w:start w:val="1"/>
    </w:lvl>
    <w:lvl w:ilvl="1">
      <w:lvlJc w:val="left"/>
      <w:lvlText w:val="%2."/>
      <w:numFmt w:val="lowerLetter"/>
      <w:start w:val="9"/>
    </w:lvl>
  </w:abstractNum>
  <w:abstractNum w:abstractNumId="174">
    <w:nsid w:val="1A9A9E69"/>
    <w:multiLevelType w:val="hybridMultilevel"/>
    <w:lvl w:ilvl="0">
      <w:lvlJc w:val="left"/>
      <w:lvlText w:val="(%1)"/>
      <w:numFmt w:val="lowerRoman"/>
      <w:start w:val="2"/>
    </w:lvl>
    <w:lvl w:ilvl="1">
      <w:lvlJc w:val="left"/>
      <w:lvlText w:val="%2."/>
      <w:numFmt w:val="decimal"/>
      <w:start w:val="3"/>
    </w:lvl>
    <w:lvl w:ilvl="2">
      <w:lvlJc w:val="left"/>
      <w:lvlText w:val="%3."/>
      <w:numFmt w:val="lowerLetter"/>
      <w:start w:val="14"/>
    </w:lvl>
  </w:abstractNum>
  <w:abstractNum w:abstractNumId="175">
    <w:nsid w:val="475E256A"/>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76">
    <w:nsid w:val="368DB37E"/>
    <w:multiLevelType w:val="hybridMultilevel"/>
    <w:lvl w:ilvl="0">
      <w:lvlJc w:val="left"/>
      <w:lvlText w:val="%1."/>
      <w:numFmt w:val="decimal"/>
      <w:start w:val="5"/>
    </w:lvl>
  </w:abstractNum>
  <w:abstractNum w:abstractNumId="177">
    <w:nsid w:val="6A3B714C"/>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178">
    <w:nsid w:val="327B517E"/>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79">
    <w:nsid w:val="1F461B51"/>
    <w:multiLevelType w:val="hybridMultilevel"/>
    <w:lvl w:ilvl="0">
      <w:lvlJc w:val="left"/>
      <w:lvlText w:val="%1."/>
      <w:numFmt w:val="decimal"/>
      <w:start w:val="7"/>
    </w:lvl>
  </w:abstractNum>
  <w:abstractNum w:abstractNumId="180">
    <w:nsid w:val="29BACF25"/>
    <w:multiLevelType w:val="hybridMultilevel"/>
    <w:lvl w:ilvl="0">
      <w:lvlJc w:val="left"/>
      <w:lvlText w:val="(%1)"/>
      <w:numFmt w:val="lowerRoman"/>
      <w:start w:val="2"/>
    </w:lvl>
  </w:abstractNum>
  <w:abstractNum w:abstractNumId="181">
    <w:nsid w:val="5D5BABB3"/>
    <w:multiLevelType w:val="hybridMultilevel"/>
    <w:lvl w:ilvl="0">
      <w:lvlJc w:val="left"/>
      <w:lvlText w:val="%1."/>
      <w:numFmt w:val="decimal"/>
      <w:start w:val="8"/>
    </w:lvl>
  </w:abstractNum>
  <w:abstractNum w:abstractNumId="182">
    <w:nsid w:val="51BF6B48"/>
    <w:multiLevelType w:val="hybridMultilevel"/>
    <w:lvl w:ilvl="0">
      <w:lvlJc w:val="left"/>
      <w:lvlText w:val="%1."/>
      <w:numFmt w:val="decimal"/>
      <w:start w:val="9"/>
    </w:lvl>
  </w:abstractNum>
  <w:abstractNum w:abstractNumId="183">
    <w:nsid w:val="7E0F6384"/>
    <w:multiLevelType w:val="hybridMultilevel"/>
    <w:lvl w:ilvl="0">
      <w:lvlJc w:val="left"/>
      <w:lvlText w:val="%1."/>
      <w:numFmt w:val="decimal"/>
      <w:start w:val="10"/>
    </w:lvl>
  </w:abstractNum>
  <w:abstractNum w:abstractNumId="184">
    <w:nsid w:val="2B4B8B53"/>
    <w:multiLevelType w:val="hybridMultilevel"/>
    <w:lvl w:ilvl="0">
      <w:lvlJc w:val="left"/>
      <w:lvlText w:val="%1."/>
      <w:numFmt w:val="decimal"/>
      <w:start w:val="1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2026-06-11T08:04:03Z</dcterms:created>
  <dcterms:modified xsi:type="dcterms:W3CDTF">2026-06-11T08:04:03Z</dcterms:modified>
</cp:coreProperties>
</file>