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193040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224790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2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Jaguar Health,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tbl>
      <w:tblPr>
        <w:tblLayout w:type="fixed"/>
        <w:tblInd w:w="1024" w:type="dxa"/>
        <w:tblCellMar>
          <w:top w:w="0" w:type="dxa"/>
          <w:left w:w="0" w:type="dxa"/>
          <w:bottom w:w="0" w:type="dxa"/>
          <w:right w:w="0" w:type="dxa"/>
        </w:tblCellMar>
      </w:tblPr>
      <w:tr>
        <w:trPr>
          <w:trHeight w:val="214"/>
        </w:trPr>
        <w:tc>
          <w:tcPr>
            <w:tcW w:w="4040" w:type="dxa"/>
            <w:vAlign w:val="bottom"/>
          </w:tcPr>
          <w:p>
            <w:pPr>
              <w:jc w:val="center"/>
              <w:ind w:right="2278"/>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3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001-36714</w:t>
            </w:r>
          </w:p>
        </w:tc>
        <w:tc>
          <w:tcPr>
            <w:tcW w:w="246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46-2956775</w:t>
            </w:r>
          </w:p>
        </w:tc>
      </w:tr>
      <w:tr>
        <w:trPr>
          <w:trHeight w:val="148"/>
        </w:trPr>
        <w:tc>
          <w:tcPr>
            <w:tcW w:w="4040" w:type="dxa"/>
            <w:vAlign w:val="bottom"/>
          </w:tcPr>
          <w:p>
            <w:pPr>
              <w:jc w:val="center"/>
              <w:ind w:right="2258"/>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3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040" w:type="dxa"/>
            <w:vAlign w:val="bottom"/>
          </w:tcPr>
          <w:p>
            <w:pPr>
              <w:jc w:val="center"/>
              <w:ind w:right="2258"/>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3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66"/>
        </w:trPr>
        <w:tc>
          <w:tcPr>
            <w:tcW w:w="4040" w:type="dxa"/>
            <w:vAlign w:val="bottom"/>
          </w:tcPr>
          <w:p>
            <w:pPr>
              <w:jc w:val="center"/>
              <w:ind w:left="1218"/>
              <w:spacing w:after="0"/>
              <w:rPr>
                <w:sz w:val="20"/>
                <w:szCs w:val="20"/>
                <w:color w:val="auto"/>
              </w:rPr>
            </w:pPr>
            <w:r>
              <w:rPr>
                <w:rFonts w:ascii="Times New Roman" w:cs="Times New Roman" w:eastAsia="Times New Roman" w:hAnsi="Times New Roman"/>
                <w:sz w:val="18"/>
                <w:szCs w:val="18"/>
                <w:b w:val="1"/>
                <w:bCs w:val="1"/>
                <w:color w:val="auto"/>
                <w:w w:val="98"/>
              </w:rPr>
              <w:t>200 Pine Street</w:t>
            </w:r>
          </w:p>
        </w:tc>
        <w:tc>
          <w:tcPr>
            <w:tcW w:w="230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16"/>
        </w:trPr>
        <w:tc>
          <w:tcPr>
            <w:tcW w:w="4040" w:type="dxa"/>
            <w:vAlign w:val="bottom"/>
          </w:tcPr>
          <w:p>
            <w:pPr>
              <w:jc w:val="center"/>
              <w:ind w:left="1218"/>
              <w:spacing w:after="0"/>
              <w:rPr>
                <w:sz w:val="20"/>
                <w:szCs w:val="20"/>
                <w:color w:val="auto"/>
              </w:rPr>
            </w:pPr>
            <w:r>
              <w:rPr>
                <w:rFonts w:ascii="Times New Roman" w:cs="Times New Roman" w:eastAsia="Times New Roman" w:hAnsi="Times New Roman"/>
                <w:sz w:val="18"/>
                <w:szCs w:val="18"/>
                <w:b w:val="1"/>
                <w:bCs w:val="1"/>
                <w:color w:val="auto"/>
                <w:w w:val="99"/>
              </w:rPr>
              <w:t>Suite 400</w:t>
            </w:r>
          </w:p>
        </w:tc>
        <w:tc>
          <w:tcPr>
            <w:tcW w:w="230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214"/>
        </w:trPr>
        <w:tc>
          <w:tcPr>
            <w:tcW w:w="4040" w:type="dxa"/>
            <w:vAlign w:val="bottom"/>
          </w:tcPr>
          <w:p>
            <w:pPr>
              <w:jc w:val="center"/>
              <w:ind w:left="1218"/>
              <w:spacing w:after="0"/>
              <w:rPr>
                <w:sz w:val="20"/>
                <w:szCs w:val="20"/>
                <w:color w:val="auto"/>
              </w:rPr>
            </w:pPr>
            <w:r>
              <w:rPr>
                <w:rFonts w:ascii="Times New Roman" w:cs="Times New Roman" w:eastAsia="Times New Roman" w:hAnsi="Times New Roman"/>
                <w:sz w:val="18"/>
                <w:szCs w:val="18"/>
                <w:b w:val="1"/>
                <w:bCs w:val="1"/>
                <w:color w:val="auto"/>
              </w:rPr>
              <w:t>San Francisco, California</w:t>
            </w:r>
          </w:p>
        </w:tc>
        <w:tc>
          <w:tcPr>
            <w:tcW w:w="2300" w:type="dxa"/>
            <w:vAlign w:val="bottom"/>
          </w:tcPr>
          <w:p>
            <w:pPr>
              <w:spacing w:after="0"/>
              <w:rPr>
                <w:sz w:val="18"/>
                <w:szCs w:val="18"/>
                <w:color w:val="auto"/>
              </w:rPr>
            </w:pPr>
          </w:p>
        </w:tc>
        <w:tc>
          <w:tcPr>
            <w:tcW w:w="246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94104</w:t>
            </w:r>
          </w:p>
        </w:tc>
      </w:tr>
      <w:tr>
        <w:trPr>
          <w:trHeight w:val="190"/>
        </w:trPr>
        <w:tc>
          <w:tcPr>
            <w:tcW w:w="4040" w:type="dxa"/>
            <w:vAlign w:val="bottom"/>
          </w:tcPr>
          <w:p>
            <w:pPr>
              <w:jc w:val="center"/>
              <w:ind w:left="121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300" w:type="dxa"/>
            <w:vAlign w:val="bottom"/>
          </w:tcPr>
          <w:p>
            <w:pPr>
              <w:spacing w:after="0"/>
              <w:rPr>
                <w:sz w:val="16"/>
                <w:szCs w:val="16"/>
                <w:color w:val="auto"/>
              </w:rPr>
            </w:pP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2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(415) 371-8300</w:t>
      </w:r>
    </w:p>
    <w:p>
      <w:pPr>
        <w:spacing w:after="0" w:line="37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205105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rFonts w:ascii="MS PGothic" w:cs="MS PGothic" w:eastAsia="MS PGothic" w:hAnsi="MS PGothic"/>
          <w:sz w:val="18"/>
          <w:szCs w:val="18"/>
          <w:color w:val="auto"/>
        </w:rPr>
      </w:pPr>
    </w:p>
    <w:p>
      <w:pPr>
        <w:ind w:left="3304"/>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97"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JAGX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w:t>
            </w:r>
          </w:p>
        </w:tc>
        <w:tc>
          <w:tcPr>
            <w:tcW w:w="0" w:type="dxa"/>
            <w:vAlign w:val="bottom"/>
          </w:tcPr>
          <w:p>
            <w:pPr>
              <w:spacing w:after="0"/>
              <w:rPr>
                <w:sz w:val="1"/>
                <w:szCs w:val="1"/>
                <w:color w:val="auto"/>
              </w:rPr>
            </w:pPr>
          </w:p>
        </w:tc>
      </w:tr>
    </w:tbl>
    <w:p>
      <w:pPr>
        <w:spacing w:after="0" w:line="125"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120015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5.07</w:t>
      </w:r>
      <w:r>
        <w:rPr>
          <w:sz w:val="20"/>
          <w:szCs w:val="20"/>
          <w:color w:val="auto"/>
        </w:rPr>
        <w:tab/>
      </w:r>
      <w:r>
        <w:rPr>
          <w:rFonts w:ascii="Times New Roman" w:cs="Times New Roman" w:eastAsia="Times New Roman" w:hAnsi="Times New Roman"/>
          <w:sz w:val="18"/>
          <w:szCs w:val="18"/>
          <w:b w:val="1"/>
          <w:bCs w:val="1"/>
          <w:color w:val="auto"/>
        </w:rPr>
        <w:t>Submission of Matters to a Vote of Security Holders.</w:t>
      </w:r>
    </w:p>
    <w:p>
      <w:pPr>
        <w:spacing w:after="0" w:line="121" w:lineRule="exact"/>
        <w:rPr>
          <w:sz w:val="20"/>
          <w:szCs w:val="20"/>
          <w:color w:val="auto"/>
        </w:rPr>
      </w:pPr>
    </w:p>
    <w:p>
      <w:pPr>
        <w:ind w:left="4"/>
        <w:spacing w:after="0" w:line="255" w:lineRule="auto"/>
        <w:rPr>
          <w:sz w:val="20"/>
          <w:szCs w:val="20"/>
          <w:color w:val="auto"/>
        </w:rPr>
      </w:pPr>
      <w:r>
        <w:rPr>
          <w:rFonts w:ascii="Times New Roman" w:cs="Times New Roman" w:eastAsia="Times New Roman" w:hAnsi="Times New Roman"/>
          <w:sz w:val="18"/>
          <w:szCs w:val="18"/>
          <w:color w:val="auto"/>
        </w:rPr>
        <w:t>On June 8, 2026, Jaguar Health, Inc. (the “Company”) reconvened its 2026 Annual Meeting of Stockholders (the “Annual Meeting”) that was adjourned on May 22, 2026 and June 2, 2026, respectively. At the Annual Meeting, five proposals were submitted to and approved by the Company’s stockholders. The proposals are described in details in the Company’s definitive proxy statement of the Annual Meeting on Schedule 14A, originally filed with the Securities and Exchange Commission (the “SEC”) on April 30, 2026 (as amended and supplemented, the “Proxy Statement”). At the Annual Meeting, a total of 7,169,152 shares of the Company’s common stock, par value $0.0001 per share (the “Common Stock”), out of a total of 14,044,277 shares of Common Stock issued and outstanding and entitled to vote at the Annual Meeting, as of April 15, 2026, the record date for the Annual Meeting (the “Record Date”), were represented in person or by proxy at the Annual Meeting.</w:t>
      </w:r>
    </w:p>
    <w:p>
      <w:pPr>
        <w:spacing w:after="0" w:line="18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final results for the votes regarding each proposal are set for below.</w:t>
      </w:r>
    </w:p>
    <w:p>
      <w:pPr>
        <w:spacing w:after="0" w:line="252" w:lineRule="exact"/>
        <w:rPr>
          <w:sz w:val="20"/>
          <w:szCs w:val="20"/>
          <w:color w:val="auto"/>
        </w:rPr>
      </w:pPr>
    </w:p>
    <w:p>
      <w:pPr>
        <w:ind w:left="424" w:right="700" w:hanging="424"/>
        <w:spacing w:after="0" w:line="282"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to elect one Class II director to the Company’s board of directors to hold office for a three-year term until the annual meeting of stockholders in 2029 and until such director’s successor is elected and qualified. The votes regarding this proposal were as follows:</w:t>
      </w:r>
    </w:p>
    <w:p>
      <w:pPr>
        <w:spacing w:after="0" w:line="170" w:lineRule="exact"/>
        <w:rPr>
          <w:sz w:val="20"/>
          <w:szCs w:val="20"/>
          <w:color w:val="auto"/>
        </w:rPr>
      </w:pPr>
    </w:p>
    <w:tbl>
      <w:tblPr>
        <w:tblLayout w:type="fixed"/>
        <w:tblInd w:w="884" w:type="dxa"/>
        <w:tblCellMar>
          <w:top w:w="0" w:type="dxa"/>
          <w:left w:w="0" w:type="dxa"/>
          <w:bottom w:w="0" w:type="dxa"/>
          <w:right w:w="0" w:type="dxa"/>
        </w:tblCellMar>
      </w:tblPr>
      <w:tr>
        <w:trPr>
          <w:trHeight w:val="161"/>
        </w:trPr>
        <w:tc>
          <w:tcPr>
            <w:tcW w:w="6520" w:type="dxa"/>
            <w:vAlign w:val="bottom"/>
          </w:tcPr>
          <w:p>
            <w:pPr>
              <w:spacing w:after="0"/>
              <w:rPr>
                <w:sz w:val="13"/>
                <w:szCs w:val="13"/>
                <w:color w:val="auto"/>
              </w:rPr>
            </w:pPr>
          </w:p>
        </w:tc>
        <w:tc>
          <w:tcPr>
            <w:tcW w:w="102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For</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Withheld</w:t>
            </w:r>
          </w:p>
        </w:tc>
        <w:tc>
          <w:tcPr>
            <w:tcW w:w="10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Broker Non-</w:t>
            </w:r>
          </w:p>
        </w:tc>
        <w:tc>
          <w:tcPr>
            <w:tcW w:w="0" w:type="dxa"/>
            <w:vAlign w:val="bottom"/>
          </w:tcPr>
          <w:p>
            <w:pPr>
              <w:spacing w:after="0"/>
              <w:rPr>
                <w:sz w:val="1"/>
                <w:szCs w:val="1"/>
                <w:color w:val="auto"/>
              </w:rPr>
            </w:pPr>
          </w:p>
        </w:tc>
      </w:tr>
      <w:tr>
        <w:trPr>
          <w:trHeight w:val="173"/>
        </w:trPr>
        <w:tc>
          <w:tcPr>
            <w:tcW w:w="652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Votes</w:t>
            </w:r>
          </w:p>
        </w:tc>
        <w:tc>
          <w:tcPr>
            <w:tcW w:w="0" w:type="dxa"/>
            <w:vAlign w:val="bottom"/>
          </w:tcPr>
          <w:p>
            <w:pPr>
              <w:spacing w:after="0"/>
              <w:rPr>
                <w:sz w:val="1"/>
                <w:szCs w:val="1"/>
                <w:color w:val="auto"/>
              </w:rPr>
            </w:pPr>
          </w:p>
        </w:tc>
      </w:tr>
      <w:tr>
        <w:trPr>
          <w:trHeight w:val="210"/>
        </w:trPr>
        <w:tc>
          <w:tcPr>
            <w:tcW w:w="6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Micek III</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3,967,085</w:t>
            </w:r>
          </w:p>
        </w:tc>
        <w:tc>
          <w:tcPr>
            <w:tcW w:w="2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240,944</w:t>
            </w:r>
          </w:p>
        </w:tc>
        <w:tc>
          <w:tcPr>
            <w:tcW w:w="2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2,961,123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24" w:right="480" w:hanging="424"/>
        <w:spacing w:after="0" w:line="282"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to ratify the appointment of RBSM LLP as the Company’s independent registered public accounting firm for the fiscal year ending December 31, 2026 was approved by the stockholders by the following vote:</w:t>
      </w:r>
    </w:p>
    <w:p>
      <w:pPr>
        <w:spacing w:after="0" w:line="170" w:lineRule="exact"/>
        <w:rPr>
          <w:sz w:val="20"/>
          <w:szCs w:val="20"/>
          <w:color w:val="auto"/>
        </w:rPr>
      </w:pPr>
    </w:p>
    <w:tbl>
      <w:tblPr>
        <w:tblLayout w:type="fixed"/>
        <w:tblInd w:w="444" w:type="dxa"/>
        <w:tblCellMar>
          <w:top w:w="0" w:type="dxa"/>
          <w:left w:w="0" w:type="dxa"/>
          <w:bottom w:w="0" w:type="dxa"/>
          <w:right w:w="0" w:type="dxa"/>
        </w:tblCellMar>
      </w:tblPr>
      <w:tr>
        <w:trPr>
          <w:trHeight w:val="161"/>
        </w:trPr>
        <w:tc>
          <w:tcPr>
            <w:tcW w:w="25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For</w:t>
            </w:r>
          </w:p>
        </w:tc>
        <w:tc>
          <w:tcPr>
            <w:tcW w:w="25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26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Abstained</w:t>
            </w:r>
          </w:p>
        </w:tc>
        <w:tc>
          <w:tcPr>
            <w:tcW w:w="2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 Non-</w:t>
            </w:r>
          </w:p>
        </w:tc>
        <w:tc>
          <w:tcPr>
            <w:tcW w:w="0" w:type="dxa"/>
            <w:vAlign w:val="bottom"/>
          </w:tcPr>
          <w:p>
            <w:pPr>
              <w:spacing w:after="0"/>
              <w:rPr>
                <w:sz w:val="1"/>
                <w:szCs w:val="1"/>
                <w:color w:val="auto"/>
              </w:rPr>
            </w:pPr>
          </w:p>
        </w:tc>
      </w:tr>
      <w:tr>
        <w:trPr>
          <w:trHeight w:val="187"/>
        </w:trPr>
        <w:tc>
          <w:tcPr>
            <w:tcW w:w="2560" w:type="dxa"/>
            <w:vAlign w:val="bottom"/>
            <w:gridSpan w:val="2"/>
            <w:vMerge w:val="continue"/>
          </w:tcPr>
          <w:p>
            <w:pPr>
              <w:spacing w:after="0"/>
              <w:rPr>
                <w:sz w:val="16"/>
                <w:szCs w:val="16"/>
                <w:color w:val="auto"/>
              </w:rPr>
            </w:pPr>
          </w:p>
        </w:tc>
        <w:tc>
          <w:tcPr>
            <w:tcW w:w="2520" w:type="dxa"/>
            <w:vAlign w:val="bottom"/>
            <w:gridSpan w:val="2"/>
            <w:vMerge w:val="continue"/>
          </w:tcPr>
          <w:p>
            <w:pPr>
              <w:spacing w:after="0"/>
              <w:rPr>
                <w:sz w:val="16"/>
                <w:szCs w:val="16"/>
                <w:color w:val="auto"/>
              </w:rPr>
            </w:pPr>
          </w:p>
        </w:tc>
        <w:tc>
          <w:tcPr>
            <w:tcW w:w="2620" w:type="dxa"/>
            <w:vAlign w:val="bottom"/>
            <w:gridSpan w:val="2"/>
            <w:vMerge w:val="continue"/>
          </w:tcPr>
          <w:p>
            <w:pPr>
              <w:spacing w:after="0"/>
              <w:rPr>
                <w:sz w:val="16"/>
                <w:szCs w:val="16"/>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Votes</w:t>
            </w:r>
          </w:p>
        </w:tc>
        <w:tc>
          <w:tcPr>
            <w:tcW w:w="0" w:type="dxa"/>
            <w:vAlign w:val="bottom"/>
          </w:tcPr>
          <w:p>
            <w:pPr>
              <w:spacing w:after="0"/>
              <w:rPr>
                <w:sz w:val="1"/>
                <w:szCs w:val="1"/>
                <w:color w:val="auto"/>
              </w:rPr>
            </w:pPr>
          </w:p>
        </w:tc>
      </w:tr>
      <w:tr>
        <w:trPr>
          <w:trHeight w:val="209"/>
        </w:trPr>
        <w:tc>
          <w:tcPr>
            <w:tcW w:w="2440" w:type="dxa"/>
            <w:vAlign w:val="bottom"/>
            <w:tcBorders>
              <w:top w:val="single" w:sz="8" w:color="auto"/>
            </w:tcBorders>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rPr>
              <w:t>6,898,326</w:t>
            </w:r>
          </w:p>
        </w:tc>
        <w:tc>
          <w:tcPr>
            <w:tcW w:w="120" w:type="dxa"/>
            <w:vAlign w:val="bottom"/>
            <w:tcBorders>
              <w:top w:val="single" w:sz="8" w:color="CCEEFF"/>
            </w:tcBorders>
            <w:shd w:val="clear" w:color="auto" w:fill="CCEEFF"/>
          </w:tcPr>
          <w:p>
            <w:pPr>
              <w:spacing w:after="0"/>
              <w:rPr>
                <w:sz w:val="18"/>
                <w:szCs w:val="18"/>
                <w:color w:val="auto"/>
              </w:rPr>
            </w:pPr>
          </w:p>
        </w:tc>
        <w:tc>
          <w:tcPr>
            <w:tcW w:w="2420" w:type="dxa"/>
            <w:vAlign w:val="bottom"/>
            <w:tcBorders>
              <w:top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rPr>
              <w:t>238,443</w:t>
            </w:r>
          </w:p>
        </w:tc>
        <w:tc>
          <w:tcPr>
            <w:tcW w:w="100" w:type="dxa"/>
            <w:vAlign w:val="bottom"/>
            <w:tcBorders>
              <w:top w:val="single" w:sz="8" w:color="CCEEFF"/>
            </w:tcBorders>
            <w:shd w:val="clear" w:color="auto" w:fill="CCEEFF"/>
          </w:tcPr>
          <w:p>
            <w:pPr>
              <w:spacing w:after="0"/>
              <w:rPr>
                <w:sz w:val="18"/>
                <w:szCs w:val="18"/>
                <w:color w:val="auto"/>
              </w:rPr>
            </w:pPr>
          </w:p>
        </w:tc>
        <w:tc>
          <w:tcPr>
            <w:tcW w:w="2520" w:type="dxa"/>
            <w:vAlign w:val="bottom"/>
            <w:tcBorders>
              <w:top w:val="single" w:sz="8" w:color="auto"/>
            </w:tcBorders>
            <w:shd w:val="clear" w:color="auto" w:fill="CCEEFF"/>
          </w:tcPr>
          <w:p>
            <w:pPr>
              <w:jc w:val="right"/>
              <w:ind w:right="939"/>
              <w:spacing w:after="0"/>
              <w:rPr>
                <w:sz w:val="20"/>
                <w:szCs w:val="20"/>
                <w:color w:val="auto"/>
              </w:rPr>
            </w:pPr>
            <w:r>
              <w:rPr>
                <w:rFonts w:ascii="Times New Roman" w:cs="Times New Roman" w:eastAsia="Times New Roman" w:hAnsi="Times New Roman"/>
                <w:sz w:val="18"/>
                <w:szCs w:val="18"/>
                <w:color w:val="auto"/>
              </w:rPr>
              <w:t>32,383</w:t>
            </w:r>
          </w:p>
        </w:tc>
        <w:tc>
          <w:tcPr>
            <w:tcW w:w="100" w:type="dxa"/>
            <w:vAlign w:val="bottom"/>
            <w:tcBorders>
              <w:top w:val="single" w:sz="8" w:color="CCEEFF"/>
            </w:tcBorders>
            <w:shd w:val="clear" w:color="auto" w:fill="CCEEFF"/>
          </w:tcPr>
          <w:p>
            <w:pPr>
              <w:spacing w:after="0"/>
              <w:rPr>
                <w:sz w:val="18"/>
                <w:szCs w:val="18"/>
                <w:color w:val="auto"/>
              </w:rPr>
            </w:pPr>
          </w:p>
        </w:tc>
        <w:tc>
          <w:tcPr>
            <w:tcW w:w="2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24" w:right="120" w:hanging="424"/>
        <w:spacing w:after="0" w:line="261"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to approve, pursuant to Nasdaq Listing Rule 5635(d) (Rule 5635(d)), the issuance of more than 19.99% of the Company’s issued and outstanding shares of Common Stock to C/M Capital Master Fund, LP (and its affiliates), an accredited investor (“C/M Capital”), pursuant to a securities purchase agreement to be entered into between the Company and C/M Capital within 90 days after the date of the Annual Meeting (the “ELOC Agreement”), was approved by the stockholders by the following vote:</w:t>
      </w:r>
    </w:p>
    <w:p>
      <w:pPr>
        <w:spacing w:after="0" w:line="188" w:lineRule="exact"/>
        <w:rPr>
          <w:sz w:val="20"/>
          <w:szCs w:val="20"/>
          <w:color w:val="auto"/>
        </w:rPr>
      </w:pPr>
    </w:p>
    <w:tbl>
      <w:tblPr>
        <w:tblLayout w:type="fixed"/>
        <w:tblInd w:w="444" w:type="dxa"/>
        <w:tblCellMar>
          <w:top w:w="0" w:type="dxa"/>
          <w:left w:w="0" w:type="dxa"/>
          <w:bottom w:w="0" w:type="dxa"/>
          <w:right w:w="0" w:type="dxa"/>
        </w:tblCellMar>
      </w:tblPr>
      <w:tr>
        <w:trPr>
          <w:trHeight w:val="161"/>
        </w:trPr>
        <w:tc>
          <w:tcPr>
            <w:tcW w:w="25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For</w:t>
            </w:r>
          </w:p>
        </w:tc>
        <w:tc>
          <w:tcPr>
            <w:tcW w:w="25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26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Abstained</w:t>
            </w:r>
          </w:p>
        </w:tc>
        <w:tc>
          <w:tcPr>
            <w:tcW w:w="2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 Non-</w:t>
            </w:r>
          </w:p>
        </w:tc>
        <w:tc>
          <w:tcPr>
            <w:tcW w:w="0" w:type="dxa"/>
            <w:vAlign w:val="bottom"/>
          </w:tcPr>
          <w:p>
            <w:pPr>
              <w:spacing w:after="0"/>
              <w:rPr>
                <w:sz w:val="1"/>
                <w:szCs w:val="1"/>
                <w:color w:val="auto"/>
              </w:rPr>
            </w:pPr>
          </w:p>
        </w:tc>
      </w:tr>
      <w:tr>
        <w:trPr>
          <w:trHeight w:val="187"/>
        </w:trPr>
        <w:tc>
          <w:tcPr>
            <w:tcW w:w="2560" w:type="dxa"/>
            <w:vAlign w:val="bottom"/>
            <w:gridSpan w:val="2"/>
            <w:vMerge w:val="continue"/>
          </w:tcPr>
          <w:p>
            <w:pPr>
              <w:spacing w:after="0"/>
              <w:rPr>
                <w:sz w:val="16"/>
                <w:szCs w:val="16"/>
                <w:color w:val="auto"/>
              </w:rPr>
            </w:pPr>
          </w:p>
        </w:tc>
        <w:tc>
          <w:tcPr>
            <w:tcW w:w="2520" w:type="dxa"/>
            <w:vAlign w:val="bottom"/>
            <w:gridSpan w:val="2"/>
            <w:vMerge w:val="continue"/>
          </w:tcPr>
          <w:p>
            <w:pPr>
              <w:spacing w:after="0"/>
              <w:rPr>
                <w:sz w:val="16"/>
                <w:szCs w:val="16"/>
                <w:color w:val="auto"/>
              </w:rPr>
            </w:pPr>
          </w:p>
        </w:tc>
        <w:tc>
          <w:tcPr>
            <w:tcW w:w="2620" w:type="dxa"/>
            <w:vAlign w:val="bottom"/>
            <w:gridSpan w:val="2"/>
            <w:vMerge w:val="continue"/>
          </w:tcPr>
          <w:p>
            <w:pPr>
              <w:spacing w:after="0"/>
              <w:rPr>
                <w:sz w:val="16"/>
                <w:szCs w:val="16"/>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Votes</w:t>
            </w:r>
          </w:p>
        </w:tc>
        <w:tc>
          <w:tcPr>
            <w:tcW w:w="0" w:type="dxa"/>
            <w:vAlign w:val="bottom"/>
          </w:tcPr>
          <w:p>
            <w:pPr>
              <w:spacing w:after="0"/>
              <w:rPr>
                <w:sz w:val="1"/>
                <w:szCs w:val="1"/>
                <w:color w:val="auto"/>
              </w:rPr>
            </w:pPr>
          </w:p>
        </w:tc>
      </w:tr>
      <w:tr>
        <w:trPr>
          <w:trHeight w:val="210"/>
        </w:trPr>
        <w:tc>
          <w:tcPr>
            <w:tcW w:w="2440" w:type="dxa"/>
            <w:vAlign w:val="bottom"/>
            <w:tcBorders>
              <w:top w:val="single" w:sz="8" w:color="auto"/>
            </w:tcBorders>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rPr>
              <w:t>3,891,273</w:t>
            </w:r>
          </w:p>
        </w:tc>
        <w:tc>
          <w:tcPr>
            <w:tcW w:w="120" w:type="dxa"/>
            <w:vAlign w:val="bottom"/>
            <w:tcBorders>
              <w:top w:val="single" w:sz="8" w:color="CCEEFF"/>
            </w:tcBorders>
            <w:shd w:val="clear" w:color="auto" w:fill="CCEEFF"/>
          </w:tcPr>
          <w:p>
            <w:pPr>
              <w:spacing w:after="0"/>
              <w:rPr>
                <w:sz w:val="18"/>
                <w:szCs w:val="18"/>
                <w:color w:val="auto"/>
              </w:rPr>
            </w:pPr>
          </w:p>
        </w:tc>
        <w:tc>
          <w:tcPr>
            <w:tcW w:w="2420" w:type="dxa"/>
            <w:vAlign w:val="bottom"/>
            <w:tcBorders>
              <w:top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rPr>
              <w:t>291,441</w:t>
            </w:r>
          </w:p>
        </w:tc>
        <w:tc>
          <w:tcPr>
            <w:tcW w:w="100" w:type="dxa"/>
            <w:vAlign w:val="bottom"/>
            <w:tcBorders>
              <w:top w:val="single" w:sz="8" w:color="CCEEFF"/>
            </w:tcBorders>
            <w:shd w:val="clear" w:color="auto" w:fill="CCEEFF"/>
          </w:tcPr>
          <w:p>
            <w:pPr>
              <w:spacing w:after="0"/>
              <w:rPr>
                <w:sz w:val="18"/>
                <w:szCs w:val="18"/>
                <w:color w:val="auto"/>
              </w:rPr>
            </w:pPr>
          </w:p>
        </w:tc>
        <w:tc>
          <w:tcPr>
            <w:tcW w:w="2520" w:type="dxa"/>
            <w:vAlign w:val="bottom"/>
            <w:tcBorders>
              <w:top w:val="single" w:sz="8" w:color="auto"/>
            </w:tcBorders>
            <w:shd w:val="clear" w:color="auto" w:fill="CCEEFF"/>
          </w:tcPr>
          <w:p>
            <w:pPr>
              <w:jc w:val="right"/>
              <w:ind w:right="939"/>
              <w:spacing w:after="0"/>
              <w:rPr>
                <w:sz w:val="20"/>
                <w:szCs w:val="20"/>
                <w:color w:val="auto"/>
              </w:rPr>
            </w:pPr>
            <w:r>
              <w:rPr>
                <w:rFonts w:ascii="Times New Roman" w:cs="Times New Roman" w:eastAsia="Times New Roman" w:hAnsi="Times New Roman"/>
                <w:sz w:val="18"/>
                <w:szCs w:val="18"/>
                <w:color w:val="auto"/>
              </w:rPr>
              <w:t>25,315</w:t>
            </w:r>
          </w:p>
        </w:tc>
        <w:tc>
          <w:tcPr>
            <w:tcW w:w="100" w:type="dxa"/>
            <w:vAlign w:val="bottom"/>
            <w:tcBorders>
              <w:top w:val="single" w:sz="8" w:color="CCEEFF"/>
            </w:tcBorders>
            <w:shd w:val="clear" w:color="auto" w:fill="CCEEFF"/>
          </w:tcPr>
          <w:p>
            <w:pPr>
              <w:spacing w:after="0"/>
              <w:rPr>
                <w:sz w:val="18"/>
                <w:szCs w:val="18"/>
                <w:color w:val="auto"/>
              </w:rPr>
            </w:pPr>
          </w:p>
        </w:tc>
        <w:tc>
          <w:tcPr>
            <w:tcW w:w="2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2,961,123</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24" w:right="60" w:hanging="424"/>
        <w:spacing w:after="0" w:line="256" w:lineRule="auto"/>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to approve, pursuant to Rule 5635(d), the issuance of more than 19.99% of the Company’s issued and outstanding shares of Common Stock to C/M Capital pursuant to a securities purchase agreement to be entered between the Company and C/M Capital within 90 days after the date of the Annual Meeting (the “Preferred Stock Purchase Agreement”), including shares of Common Stock issuable upon redemption of shares of a new series of preferred stock of the Company, par value $0.0001 per share, to be designated as Series P Non-Convertible Preferred Stock (the “Series P Preferred Stock”), to be issued and sold pursuant to the Preferred Stock Purchase Agreement, was approved by the stockholders by the following vote:</w:t>
      </w:r>
    </w:p>
    <w:p>
      <w:pPr>
        <w:spacing w:after="0" w:line="195" w:lineRule="exact"/>
        <w:rPr>
          <w:sz w:val="20"/>
          <w:szCs w:val="20"/>
          <w:color w:val="auto"/>
        </w:rPr>
      </w:pPr>
    </w:p>
    <w:tbl>
      <w:tblPr>
        <w:tblLayout w:type="fixed"/>
        <w:tblInd w:w="444" w:type="dxa"/>
        <w:tblCellMar>
          <w:top w:w="0" w:type="dxa"/>
          <w:left w:w="0" w:type="dxa"/>
          <w:bottom w:w="0" w:type="dxa"/>
          <w:right w:w="0" w:type="dxa"/>
        </w:tblCellMar>
      </w:tblPr>
      <w:tr>
        <w:trPr>
          <w:trHeight w:val="161"/>
        </w:trPr>
        <w:tc>
          <w:tcPr>
            <w:tcW w:w="25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For</w:t>
            </w:r>
          </w:p>
        </w:tc>
        <w:tc>
          <w:tcPr>
            <w:tcW w:w="25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26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Abstained</w:t>
            </w:r>
          </w:p>
        </w:tc>
        <w:tc>
          <w:tcPr>
            <w:tcW w:w="2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 Non-</w:t>
            </w:r>
          </w:p>
        </w:tc>
        <w:tc>
          <w:tcPr>
            <w:tcW w:w="0" w:type="dxa"/>
            <w:vAlign w:val="bottom"/>
          </w:tcPr>
          <w:p>
            <w:pPr>
              <w:spacing w:after="0"/>
              <w:rPr>
                <w:sz w:val="1"/>
                <w:szCs w:val="1"/>
                <w:color w:val="auto"/>
              </w:rPr>
            </w:pPr>
          </w:p>
        </w:tc>
      </w:tr>
      <w:tr>
        <w:trPr>
          <w:trHeight w:val="187"/>
        </w:trPr>
        <w:tc>
          <w:tcPr>
            <w:tcW w:w="2560" w:type="dxa"/>
            <w:vAlign w:val="bottom"/>
            <w:gridSpan w:val="2"/>
            <w:vMerge w:val="continue"/>
          </w:tcPr>
          <w:p>
            <w:pPr>
              <w:spacing w:after="0"/>
              <w:rPr>
                <w:sz w:val="16"/>
                <w:szCs w:val="16"/>
                <w:color w:val="auto"/>
              </w:rPr>
            </w:pPr>
          </w:p>
        </w:tc>
        <w:tc>
          <w:tcPr>
            <w:tcW w:w="2520" w:type="dxa"/>
            <w:vAlign w:val="bottom"/>
            <w:gridSpan w:val="2"/>
            <w:vMerge w:val="continue"/>
          </w:tcPr>
          <w:p>
            <w:pPr>
              <w:spacing w:after="0"/>
              <w:rPr>
                <w:sz w:val="16"/>
                <w:szCs w:val="16"/>
                <w:color w:val="auto"/>
              </w:rPr>
            </w:pPr>
          </w:p>
        </w:tc>
        <w:tc>
          <w:tcPr>
            <w:tcW w:w="2620" w:type="dxa"/>
            <w:vAlign w:val="bottom"/>
            <w:gridSpan w:val="2"/>
            <w:vMerge w:val="continue"/>
          </w:tcPr>
          <w:p>
            <w:pPr>
              <w:spacing w:after="0"/>
              <w:rPr>
                <w:sz w:val="16"/>
                <w:szCs w:val="16"/>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Votes</w:t>
            </w:r>
          </w:p>
        </w:tc>
        <w:tc>
          <w:tcPr>
            <w:tcW w:w="0" w:type="dxa"/>
            <w:vAlign w:val="bottom"/>
          </w:tcPr>
          <w:p>
            <w:pPr>
              <w:spacing w:after="0"/>
              <w:rPr>
                <w:sz w:val="1"/>
                <w:szCs w:val="1"/>
                <w:color w:val="auto"/>
              </w:rPr>
            </w:pPr>
          </w:p>
        </w:tc>
      </w:tr>
      <w:tr>
        <w:trPr>
          <w:trHeight w:val="210"/>
        </w:trPr>
        <w:tc>
          <w:tcPr>
            <w:tcW w:w="2440" w:type="dxa"/>
            <w:vAlign w:val="bottom"/>
            <w:tcBorders>
              <w:top w:val="single" w:sz="8" w:color="auto"/>
            </w:tcBorders>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rPr>
              <w:t>3,846,847</w:t>
            </w:r>
          </w:p>
        </w:tc>
        <w:tc>
          <w:tcPr>
            <w:tcW w:w="120" w:type="dxa"/>
            <w:vAlign w:val="bottom"/>
            <w:tcBorders>
              <w:top w:val="single" w:sz="8" w:color="CCEEFF"/>
            </w:tcBorders>
            <w:shd w:val="clear" w:color="auto" w:fill="CCEEFF"/>
          </w:tcPr>
          <w:p>
            <w:pPr>
              <w:spacing w:after="0"/>
              <w:rPr>
                <w:sz w:val="18"/>
                <w:szCs w:val="18"/>
                <w:color w:val="auto"/>
              </w:rPr>
            </w:pPr>
          </w:p>
        </w:tc>
        <w:tc>
          <w:tcPr>
            <w:tcW w:w="2420" w:type="dxa"/>
            <w:vAlign w:val="bottom"/>
            <w:tcBorders>
              <w:top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rPr>
              <w:t>336,712</w:t>
            </w:r>
          </w:p>
        </w:tc>
        <w:tc>
          <w:tcPr>
            <w:tcW w:w="100" w:type="dxa"/>
            <w:vAlign w:val="bottom"/>
            <w:tcBorders>
              <w:top w:val="single" w:sz="8" w:color="CCEEFF"/>
            </w:tcBorders>
            <w:shd w:val="clear" w:color="auto" w:fill="CCEEFF"/>
          </w:tcPr>
          <w:p>
            <w:pPr>
              <w:spacing w:after="0"/>
              <w:rPr>
                <w:sz w:val="18"/>
                <w:szCs w:val="18"/>
                <w:color w:val="auto"/>
              </w:rPr>
            </w:pPr>
          </w:p>
        </w:tc>
        <w:tc>
          <w:tcPr>
            <w:tcW w:w="2520" w:type="dxa"/>
            <w:vAlign w:val="bottom"/>
            <w:tcBorders>
              <w:top w:val="single" w:sz="8" w:color="auto"/>
            </w:tcBorders>
            <w:shd w:val="clear" w:color="auto" w:fill="CCEEFF"/>
          </w:tcPr>
          <w:p>
            <w:pPr>
              <w:jc w:val="right"/>
              <w:ind w:right="939"/>
              <w:spacing w:after="0"/>
              <w:rPr>
                <w:sz w:val="20"/>
                <w:szCs w:val="20"/>
                <w:color w:val="auto"/>
              </w:rPr>
            </w:pPr>
            <w:r>
              <w:rPr>
                <w:rFonts w:ascii="Times New Roman" w:cs="Times New Roman" w:eastAsia="Times New Roman" w:hAnsi="Times New Roman"/>
                <w:sz w:val="18"/>
                <w:szCs w:val="18"/>
                <w:color w:val="auto"/>
              </w:rPr>
              <w:t>24,470</w:t>
            </w:r>
          </w:p>
        </w:tc>
        <w:tc>
          <w:tcPr>
            <w:tcW w:w="100" w:type="dxa"/>
            <w:vAlign w:val="bottom"/>
            <w:tcBorders>
              <w:top w:val="single" w:sz="8" w:color="CCEEFF"/>
            </w:tcBorders>
            <w:shd w:val="clear" w:color="auto" w:fill="CCEEFF"/>
          </w:tcPr>
          <w:p>
            <w:pPr>
              <w:spacing w:after="0"/>
              <w:rPr>
                <w:sz w:val="18"/>
                <w:szCs w:val="18"/>
                <w:color w:val="auto"/>
              </w:rPr>
            </w:pPr>
          </w:p>
        </w:tc>
        <w:tc>
          <w:tcPr>
            <w:tcW w:w="2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2,961,123</w:t>
            </w:r>
          </w:p>
        </w:tc>
        <w:tc>
          <w:tcPr>
            <w:tcW w:w="0" w:type="dxa"/>
            <w:vAlign w:val="bottom"/>
          </w:tcPr>
          <w:p>
            <w:pPr>
              <w:spacing w:after="0"/>
              <w:rPr>
                <w:sz w:val="1"/>
                <w:szCs w:val="1"/>
                <w:color w:val="auto"/>
              </w:rPr>
            </w:pPr>
          </w:p>
        </w:tc>
      </w:tr>
    </w:tbl>
    <w:p>
      <w:pPr>
        <w:sectPr>
          <w:pgSz w:w="11900" w:h="16838" w:orient="portrait"/>
          <w:cols w:equalWidth="0" w:num="1">
            <w:col w:w="11004"/>
          </w:cols>
          <w:pgMar w:left="436" w:top="293" w:right="459" w:bottom="1440" w:gutter="0" w:footer="0" w:header="0"/>
        </w:sectPr>
      </w:pPr>
    </w:p>
    <w:bookmarkStart w:id="2" w:name="page3"/>
    <w:bookmarkEnd w:id="2"/>
    <w:p>
      <w:pPr>
        <w:ind w:left="424" w:hanging="424"/>
        <w:spacing w:after="0" w:line="266" w:lineRule="auto"/>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Proposal to approve a proposal to grant discretionary authority to adjourn the Annual Meeting, if necessary, to solicit additional proxies in the event that there are not sufficient votes at the time of the Annual Meeting to approve Proposals 3 and 4, was approved by the stockholders by the following vote:</w:t>
      </w:r>
    </w:p>
    <w:p>
      <w:pPr>
        <w:spacing w:after="0" w:line="184"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4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0" w:type="dxa"/>
            <w:vAlign w:val="bottom"/>
            <w:gridSpan w:val="3"/>
            <w:vMerge w:val="restart"/>
          </w:tcPr>
          <w:p>
            <w:pPr>
              <w:jc w:val="center"/>
              <w:ind w:right="1220"/>
              <w:spacing w:after="0"/>
              <w:rPr>
                <w:sz w:val="20"/>
                <w:szCs w:val="20"/>
                <w:color w:val="auto"/>
              </w:rPr>
            </w:pPr>
            <w:r>
              <w:rPr>
                <w:rFonts w:ascii="Times New Roman" w:cs="Times New Roman" w:eastAsia="Times New Roman" w:hAnsi="Times New Roman"/>
                <w:sz w:val="14"/>
                <w:szCs w:val="14"/>
                <w:b w:val="1"/>
                <w:bCs w:val="1"/>
                <w:color w:val="auto"/>
              </w:rPr>
              <w:t>For</w:t>
            </w:r>
          </w:p>
        </w:tc>
        <w:tc>
          <w:tcPr>
            <w:tcW w:w="1960" w:type="dxa"/>
            <w:vAlign w:val="bottom"/>
            <w:gridSpan w:val="2"/>
            <w:vMerge w:val="restart"/>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26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Abstained</w:t>
            </w:r>
          </w:p>
        </w:tc>
        <w:tc>
          <w:tcPr>
            <w:tcW w:w="2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 Non-</w:t>
            </w:r>
          </w:p>
        </w:tc>
        <w:tc>
          <w:tcPr>
            <w:tcW w:w="0" w:type="dxa"/>
            <w:vAlign w:val="bottom"/>
          </w:tcPr>
          <w:p>
            <w:pPr>
              <w:spacing w:after="0"/>
              <w:rPr>
                <w:sz w:val="1"/>
                <w:szCs w:val="1"/>
                <w:color w:val="auto"/>
              </w:rPr>
            </w:pPr>
          </w:p>
        </w:tc>
      </w:tr>
      <w:tr>
        <w:trPr>
          <w:trHeight w:val="187"/>
        </w:trPr>
        <w:tc>
          <w:tcPr>
            <w:tcW w:w="4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0" w:type="dxa"/>
            <w:vAlign w:val="bottom"/>
            <w:gridSpan w:val="3"/>
            <w:vMerge w:val="continue"/>
          </w:tcPr>
          <w:p>
            <w:pPr>
              <w:spacing w:after="0"/>
              <w:rPr>
                <w:sz w:val="16"/>
                <w:szCs w:val="16"/>
                <w:color w:val="auto"/>
              </w:rPr>
            </w:pPr>
          </w:p>
        </w:tc>
        <w:tc>
          <w:tcPr>
            <w:tcW w:w="1960" w:type="dxa"/>
            <w:vAlign w:val="bottom"/>
            <w:gridSpan w:val="2"/>
            <w:vMerge w:val="continue"/>
          </w:tcPr>
          <w:p>
            <w:pPr>
              <w:spacing w:after="0"/>
              <w:rPr>
                <w:sz w:val="16"/>
                <w:szCs w:val="16"/>
                <w:color w:val="auto"/>
              </w:rPr>
            </w:pPr>
          </w:p>
        </w:tc>
        <w:tc>
          <w:tcPr>
            <w:tcW w:w="2620" w:type="dxa"/>
            <w:vAlign w:val="bottom"/>
            <w:gridSpan w:val="2"/>
            <w:vMerge w:val="continue"/>
          </w:tcPr>
          <w:p>
            <w:pPr>
              <w:spacing w:after="0"/>
              <w:rPr>
                <w:sz w:val="16"/>
                <w:szCs w:val="16"/>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Votes</w:t>
            </w: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rPr>
              <w:t>3,928,027</w:t>
            </w:r>
          </w:p>
        </w:tc>
        <w:tc>
          <w:tcPr>
            <w:tcW w:w="1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rPr>
              <w:t>258,049</w:t>
            </w:r>
          </w:p>
        </w:tc>
        <w:tc>
          <w:tcPr>
            <w:tcW w:w="100" w:type="dxa"/>
            <w:vAlign w:val="bottom"/>
            <w:tcBorders>
              <w:top w:val="single" w:sz="8" w:color="CCEEFF"/>
            </w:tcBorders>
            <w:shd w:val="clear" w:color="auto" w:fill="CCEEFF"/>
          </w:tcPr>
          <w:p>
            <w:pPr>
              <w:spacing w:after="0"/>
              <w:rPr>
                <w:sz w:val="18"/>
                <w:szCs w:val="18"/>
                <w:color w:val="auto"/>
              </w:rPr>
            </w:pPr>
          </w:p>
        </w:tc>
        <w:tc>
          <w:tcPr>
            <w:tcW w:w="2520" w:type="dxa"/>
            <w:vAlign w:val="bottom"/>
            <w:tcBorders>
              <w:top w:val="single" w:sz="8" w:color="auto"/>
            </w:tcBorders>
            <w:shd w:val="clear" w:color="auto" w:fill="CCEEFF"/>
          </w:tcPr>
          <w:p>
            <w:pPr>
              <w:jc w:val="right"/>
              <w:ind w:right="939"/>
              <w:spacing w:after="0"/>
              <w:rPr>
                <w:sz w:val="20"/>
                <w:szCs w:val="20"/>
                <w:color w:val="auto"/>
              </w:rPr>
            </w:pPr>
            <w:r>
              <w:rPr>
                <w:rFonts w:ascii="Times New Roman" w:cs="Times New Roman" w:eastAsia="Times New Roman" w:hAnsi="Times New Roman"/>
                <w:sz w:val="18"/>
                <w:szCs w:val="18"/>
                <w:color w:val="auto"/>
              </w:rPr>
              <w:t>21,953</w:t>
            </w:r>
          </w:p>
        </w:tc>
        <w:tc>
          <w:tcPr>
            <w:tcW w:w="100" w:type="dxa"/>
            <w:vAlign w:val="bottom"/>
            <w:tcBorders>
              <w:top w:val="single" w:sz="8" w:color="CCEEFF"/>
            </w:tcBorders>
            <w:shd w:val="clear" w:color="auto" w:fill="CCEEFF"/>
          </w:tcPr>
          <w:p>
            <w:pPr>
              <w:spacing w:after="0"/>
              <w:rPr>
                <w:sz w:val="18"/>
                <w:szCs w:val="18"/>
                <w:color w:val="auto"/>
              </w:rPr>
            </w:pPr>
          </w:p>
        </w:tc>
        <w:tc>
          <w:tcPr>
            <w:tcW w:w="2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2,961,123</w:t>
            </w:r>
          </w:p>
        </w:tc>
        <w:tc>
          <w:tcPr>
            <w:tcW w:w="0" w:type="dxa"/>
            <w:vAlign w:val="bottom"/>
          </w:tcPr>
          <w:p>
            <w:pPr>
              <w:spacing w:after="0"/>
              <w:rPr>
                <w:sz w:val="1"/>
                <w:szCs w:val="1"/>
                <w:color w:val="auto"/>
              </w:rPr>
            </w:pPr>
          </w:p>
        </w:tc>
      </w:tr>
      <w:tr>
        <w:trPr>
          <w:trHeight w:val="581"/>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7.01</w:t>
            </w:r>
          </w:p>
        </w:tc>
        <w:tc>
          <w:tcPr>
            <w:tcW w:w="2600" w:type="dxa"/>
            <w:vAlign w:val="bottom"/>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Regulation FD Disclosure.</w:t>
            </w: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On June 8, 2026, the Company issued a press release announcing the results of the Annual Meeting, a copy of which is furnished as Exhibit 99.1.</w:t>
      </w:r>
    </w:p>
    <w:p>
      <w:pPr>
        <w:spacing w:after="0" w:line="225" w:lineRule="exact"/>
        <w:rPr>
          <w:sz w:val="20"/>
          <w:szCs w:val="20"/>
          <w:color w:val="auto"/>
        </w:rPr>
      </w:pPr>
    </w:p>
    <w:p>
      <w:pPr>
        <w:ind w:left="4" w:right="220"/>
        <w:spacing w:after="0" w:line="289" w:lineRule="auto"/>
        <w:rPr>
          <w:sz w:val="20"/>
          <w:szCs w:val="20"/>
          <w:color w:val="auto"/>
        </w:rPr>
      </w:pPr>
      <w:r>
        <w:rPr>
          <w:rFonts w:ascii="Times New Roman" w:cs="Times New Roman" w:eastAsia="Times New Roman" w:hAnsi="Times New Roman"/>
          <w:sz w:val="17"/>
          <w:szCs w:val="17"/>
          <w:color w:val="auto"/>
        </w:rPr>
        <w:t>The information in Exhibit 99.1 attached hereto shall not be deemed “filed” for purposes of Section 18 of the Securities Exchange Act of 1934, as amended (the “Exchange Act”), or otherwise subject to the liabilities of that Section, or incorporated by reference into any of the Company’s filings under the Securities Act of 1933, as amended, or the Exchange Act, except as shall be expressly set forth by specific reference in any such filing.</w:t>
      </w:r>
    </w:p>
    <w:p>
      <w:pPr>
        <w:spacing w:after="0" w:line="302"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1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(d) Exhibits</w:t>
      </w:r>
    </w:p>
    <w:p>
      <w:pPr>
        <w:spacing w:after="0" w:line="24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124"/>
        <w:spacing w:after="0"/>
        <w:tabs>
          <w:tab w:leader="none" w:pos="864"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84" w:lineRule="exact"/>
        <w:rPr>
          <w:sz w:val="20"/>
          <w:szCs w:val="20"/>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dated June 8, 2026</w:t>
      </w:r>
    </w:p>
    <w:p>
      <w:pPr>
        <w:spacing w:after="0" w:line="117" w:lineRule="exact"/>
        <w:rPr>
          <w:sz w:val="20"/>
          <w:szCs w:val="20"/>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 the inline XBRL document)</w:t>
      </w:r>
    </w:p>
    <w:p>
      <w:pPr>
        <w:sectPr>
          <w:pgSz w:w="11900" w:h="16838" w:orient="portrait"/>
          <w:cols w:equalWidth="0" w:num="1">
            <w:col w:w="10864"/>
          </w:cols>
          <w:pgMar w:left="436" w:top="297" w:right="599" w:bottom="1440" w:gutter="0" w:footer="0" w:header="0"/>
        </w:sectPr>
      </w:pPr>
    </w:p>
    <w:bookmarkStart w:id="3" w:name="page4"/>
    <w:bookmarkEnd w:id="3"/>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5"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8"/>
          <w:szCs w:val="18"/>
          <w:b w:val="1"/>
          <w:bCs w:val="1"/>
          <w:color w:val="auto"/>
        </w:rPr>
        <w:t>JAGUAR HEALTH,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June 8,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Lisa A. Conte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Lisa A. Conte</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Executive Officer &amp; President</w:t>
      </w:r>
    </w:p>
    <w:p>
      <w:pPr>
        <w:sectPr>
          <w:pgSz w:w="11900" w:h="16838" w:orient="portrait"/>
          <w:cols w:equalWidth="0" w:num="1">
            <w:col w:w="10940"/>
          </w:cols>
          <w:pgMar w:left="440" w:top="293" w:right="51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2168525" cy="5918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68525"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Jaguar Health Reports Approval of All Proposals at 2026</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Annual Meeting of Stockholders</w:t>
      </w:r>
    </w:p>
    <w:p>
      <w:pPr>
        <w:spacing w:after="0" w:line="20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 xml:space="preserve">Lisa Conte, Jaguar’s founder, president &amp; CEO, presenting virtually on June 10, 2026 at the Emerging Growth Conference; click </w:t>
      </w:r>
      <w:r>
        <w:rPr>
          <w:rFonts w:ascii="Times New Roman" w:cs="Times New Roman" w:eastAsia="Times New Roman" w:hAnsi="Times New Roman"/>
          <w:sz w:val="18"/>
          <w:szCs w:val="18"/>
          <w:b w:val="1"/>
          <w:bCs w:val="1"/>
          <w:i w:val="1"/>
          <w:iCs w:val="1"/>
          <w:u w:val="single" w:color="auto"/>
          <w:color w:val="auto"/>
        </w:rPr>
        <w:t>here</w:t>
      </w:r>
      <w:r>
        <w:rPr>
          <w:rFonts w:ascii="Times New Roman" w:cs="Times New Roman" w:eastAsia="Times New Roman" w:hAnsi="Times New Roman"/>
          <w:sz w:val="18"/>
          <w:szCs w:val="18"/>
          <w:i w:val="1"/>
          <w:iCs w:val="1"/>
          <w:color w:val="auto"/>
        </w:rPr>
        <w:t xml:space="preserve"> to register</w:t>
      </w:r>
    </w:p>
    <w:p>
      <w:pPr>
        <w:spacing w:after="0" w:line="225"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San Francisco, CA (June 8, 2026): </w:t>
      </w:r>
      <w:r>
        <w:rPr>
          <w:rFonts w:ascii="Times New Roman" w:cs="Times New Roman" w:eastAsia="Times New Roman" w:hAnsi="Times New Roman"/>
          <w:sz w:val="18"/>
          <w:szCs w:val="18"/>
          <w:color w:val="auto"/>
        </w:rPr>
        <w:t>Jaguar Health, Inc. (NASDAQ: JAGX) (“Jaguar” or the “Company”) today announced the voting results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Company’s May 22, 2026 Annual Meeting of Stockholders (the “Annual Meeting”), which was adjourned until June 8, 2026.</w:t>
      </w:r>
    </w:p>
    <w:p>
      <w:pPr>
        <w:spacing w:after="0" w:line="15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Five proposals were submitted to and approved by the stockholders of the Company at the Annual Meeting. The proposals are described in detail in the Company’s definitive proxy statement on Schedule 14A relating to the Annual Meeting filed with the Securities and Exchange Commission (the “SEC”) on April 30, 2026 and supplemental information filed with the SEC. Stockholders may obtain a free copy of the proxy statement and other documents filed by Jaguar with the SEC at http://www.sec.gov. The proxy statement is also available on the Company’s corporate website.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Participation Instructions for Jaguar’s Virtual Presentation at the Emerging Growth Conference</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When: Wednesday, June 10, 2026 from 12:35 - 1:05 PM Eastern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Where: Online (Click Here)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Registration link for conference: Click Here</w:t>
      </w:r>
    </w:p>
    <w:p>
      <w:pPr>
        <w:spacing w:after="0" w:line="2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Replay: An archived webcast of the presentation will be made available on EmergingGrowth.com and on the Emerging Growth YouTube Channel.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the Jaguar Health Family of Companies</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Jaguar Health, Inc. (“Jaguar”) develops novel proprietary prescription drugs sustainably derived from plants for people with complicated gastrointestinal (“GI”) disease states. Jaguar family companies Napo Pharmaceuticals, Inc. and Napo Therapeutics S.p.A. focus on the development and commercialization of novel crofelemer powder for oral solution for the treatment of rare and orphan gastrointestinal disorders with intestinal failure, including microvillus inclusion disease and short bowel syndrome. Magdalena Biosciences, a joint venture formed by Jaguar and Filament Health Corp. that emerged from Jaguar’s Entheogen Therapeutics Initiative (ETI), is focused on developing novel prescription medicines derived from plants for mental health indications.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about: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Jaguar Health, visit </w:t>
      </w:r>
      <w:r>
        <w:rPr>
          <w:rFonts w:ascii="Times New Roman" w:cs="Times New Roman" w:eastAsia="Times New Roman" w:hAnsi="Times New Roman"/>
          <w:sz w:val="18"/>
          <w:szCs w:val="18"/>
          <w:u w:val="single" w:color="auto"/>
          <w:color w:val="auto"/>
        </w:rPr>
        <w:t>https://jaguar.health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Napo Pharmaceuticals, visit </w:t>
      </w:r>
      <w:r>
        <w:rPr>
          <w:rFonts w:ascii="Times New Roman" w:cs="Times New Roman" w:eastAsia="Times New Roman" w:hAnsi="Times New Roman"/>
          <w:sz w:val="18"/>
          <w:szCs w:val="18"/>
          <w:u w:val="single" w:color="auto"/>
          <w:color w:val="auto"/>
        </w:rPr>
        <w:t>napopharma.com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Napo Therapeutics, visit </w:t>
      </w:r>
      <w:r>
        <w:rPr>
          <w:rFonts w:ascii="Times New Roman" w:cs="Times New Roman" w:eastAsia="Times New Roman" w:hAnsi="Times New Roman"/>
          <w:sz w:val="18"/>
          <w:szCs w:val="18"/>
          <w:u w:val="single" w:color="auto"/>
          <w:color w:val="auto"/>
        </w:rPr>
        <w:t>napotherapeutics.com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Magdalena Biosciences, visit </w:t>
      </w:r>
      <w:r>
        <w:rPr>
          <w:rFonts w:ascii="Times New Roman" w:cs="Times New Roman" w:eastAsia="Times New Roman" w:hAnsi="Times New Roman"/>
          <w:sz w:val="18"/>
          <w:szCs w:val="18"/>
          <w:u w:val="single" w:color="auto"/>
          <w:color w:val="auto"/>
        </w:rPr>
        <w:t>magdalenabiosciences.com</w:t>
      </w:r>
    </w:p>
    <w:p>
      <w:pPr>
        <w:sectPr>
          <w:pgSz w:w="11900" w:h="16838" w:orient="portrait"/>
          <w:cols w:equalWidth="0" w:num="1">
            <w:col w:w="11020"/>
          </w:cols>
          <w:pgMar w:left="440" w:top="117"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858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685800"/>
                    </a:xfrm>
                    <a:prstGeom prst="rect">
                      <a:avLst/>
                    </a:prstGeom>
                    <a:noFill/>
                  </pic:spPr>
                </pic:pic>
              </a:graphicData>
            </a:graphic>
          </wp:anchor>
        </w:drawing>
        <w:t>Forward-Looking Statements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Certain statements in this press release constitute “forward-looking statements.” These include statements regarding Jaguar’s expectation that Jaguar management will present at the June 2026 Emerging Growth Conference. In some cases, you can identify forward-looking statements by terms such as “may,” “will,” “should,” “expect,” “plan,” “aim,” “anticipate,” “could,” “intend,” “target,” “project,” “contemplate,” “believe,” “estimate,” “predict,” “potential” or “continue” or the negative of these terms or other similar expressions. The forward-looking statements in this release are only predictions. Jaguar has based these forward-looking statements largely on its current expectations and projections about future events. These forward-looking statements speak only as of the date of this release and are subject to several risks, uncertainties, and assumptions, some of which cannot be predicted or quantified and some of which are beyond Jaguar’s control. Except as required by applicable law, Jaguar does not plan to publicly update or revise any forward-looking statements contained herein, whether as a result of any new information, future events, changed circumstances or otherwise. Source: Jaguar Health, Inc.</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hello@jaguar.health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Jaguar-JAGX</w:t>
      </w:r>
    </w:p>
    <w:sectPr>
      <w:pgSz w:w="11900" w:h="16838" w:orient="portrait"/>
      <w:cols w:equalWidth="0" w:num="1">
        <w:col w:w="10960"/>
      </w:cols>
      <w:pgMar w:left="440" w:top="1346"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2"/>
    </w:lvl>
  </w:abstractNum>
  <w:abstractNum w:abstractNumId="3">
    <w:nsid w:val="46E87CCD"/>
    <w:multiLevelType w:val="hybridMultilevel"/>
    <w:lvl w:ilvl="0">
      <w:lvlJc w:val="left"/>
      <w:lvlText w:val="%1."/>
      <w:numFmt w:val="decimal"/>
      <w:start w:val="3"/>
    </w:lvl>
  </w:abstractNum>
  <w:abstractNum w:abstractNumId="4">
    <w:nsid w:val="3D1B58BA"/>
    <w:multiLevelType w:val="hybridMultilevel"/>
    <w:lvl w:ilvl="0">
      <w:lvlJc w:val="left"/>
      <w:lvlText w:val="%1."/>
      <w:numFmt w:val="decimal"/>
      <w:start w:val="4"/>
    </w:lvl>
  </w:abstractNum>
  <w:abstractNum w:abstractNumId="5">
    <w:nsid w:val="507ED7AB"/>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2026-06-08T15:53:21Z</dcterms:created>
  <dcterms:modified xsi:type="dcterms:W3CDTF">2026-06-08T15:53:21Z</dcterms:modified>
</cp:coreProperties>
</file>