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7884ds1.htm"/>
        <w:bookmarkStart w:id="1" w:name="ksd117884ds1"/>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July 15,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S-1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Jaguar Health,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46-2956775</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(Primary Standard Industrial</w:t>
              <w:b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Number)</w:t>
            </w:r>
          </w:p>
        </w:tc>
      </w:tr>
    </w:tbl>
    <w:p>
      <w:pPr>
        <w:pStyle w:val="TextBody"/>
        <w:bidi w:val="0"/>
        <w:spacing w:before="240" w:after="0"/>
        <w:jc w:val="center"/>
        <w:rPr>
          <w:rFonts w:ascii="Times New Roman" w:hAnsi="Times New Roman"/>
          <w:b/>
          <w:sz w:val="18"/>
        </w:rPr>
      </w:pPr>
      <w:r>
        <w:rPr>
          <w:rFonts w:ascii="Times New Roman" w:hAnsi="Times New Roman"/>
          <w:b/>
          <w:sz w:val="18"/>
        </w:rPr>
        <w:t xml:space="preserve">200 Pine Street </w:t>
      </w:r>
    </w:p>
    <w:p>
      <w:pPr>
        <w:pStyle w:val="TextBody"/>
        <w:bidi w:val="0"/>
        <w:spacing w:before="0" w:after="0"/>
        <w:jc w:val="center"/>
        <w:rPr>
          <w:rFonts w:ascii="Times New Roman" w:hAnsi="Times New Roman"/>
          <w:b/>
          <w:sz w:val="18"/>
        </w:rPr>
      </w:pPr>
      <w:r>
        <w:rPr>
          <w:rFonts w:ascii="Times New Roman" w:hAnsi="Times New Roman"/>
          <w:b/>
          <w:sz w:val="18"/>
        </w:rPr>
        <w:t xml:space="preserve">Suite 400 </w:t>
      </w:r>
    </w:p>
    <w:p>
      <w:pPr>
        <w:pStyle w:val="TextBody"/>
        <w:bidi w:val="0"/>
        <w:spacing w:before="0" w:after="0"/>
        <w:jc w:val="center"/>
        <w:rPr>
          <w:rFonts w:ascii="Times New Roman" w:hAnsi="Times New Roman"/>
          <w:b/>
          <w:sz w:val="18"/>
        </w:rPr>
      </w:pPr>
      <w:r>
        <w:rPr>
          <w:rFonts w:ascii="Times New Roman" w:hAnsi="Times New Roman"/>
          <w:b/>
          <w:sz w:val="18"/>
        </w:rPr>
        <w:t xml:space="preserve">San Francisco, California 94104 </w:t>
      </w:r>
    </w:p>
    <w:p>
      <w:pPr>
        <w:pStyle w:val="TextBody"/>
        <w:bidi w:val="0"/>
        <w:spacing w:before="0" w:after="0"/>
        <w:jc w:val="center"/>
        <w:rPr>
          <w:rFonts w:ascii="Times New Roman" w:hAnsi="Times New Roman"/>
          <w:b/>
          <w:sz w:val="18"/>
        </w:rPr>
      </w:pPr>
      <w:r>
        <w:rPr>
          <w:rFonts w:ascii="Times New Roman" w:hAnsi="Times New Roman"/>
          <w:b/>
          <w:sz w:val="18"/>
        </w:rPr>
        <w:t xml:space="preserve">(415) 371-8300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Lisa A. Conte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and President </w:t>
      </w:r>
    </w:p>
    <w:p>
      <w:pPr>
        <w:pStyle w:val="TextBody"/>
        <w:bidi w:val="0"/>
        <w:spacing w:before="0" w:after="0"/>
        <w:jc w:val="center"/>
        <w:rPr>
          <w:rFonts w:ascii="Times New Roman" w:hAnsi="Times New Roman"/>
          <w:b/>
          <w:sz w:val="18"/>
        </w:rPr>
      </w:pPr>
      <w:r>
        <w:rPr>
          <w:rFonts w:ascii="Times New Roman" w:hAnsi="Times New Roman"/>
          <w:b/>
          <w:sz w:val="18"/>
        </w:rPr>
        <w:t xml:space="preserve">200 Pine Street </w:t>
      </w:r>
    </w:p>
    <w:p>
      <w:pPr>
        <w:pStyle w:val="TextBody"/>
        <w:bidi w:val="0"/>
        <w:spacing w:before="0" w:after="0"/>
        <w:jc w:val="center"/>
        <w:rPr>
          <w:rFonts w:ascii="Times New Roman" w:hAnsi="Times New Roman"/>
          <w:b/>
          <w:sz w:val="18"/>
        </w:rPr>
      </w:pPr>
      <w:r>
        <w:rPr>
          <w:rFonts w:ascii="Times New Roman" w:hAnsi="Times New Roman"/>
          <w:b/>
          <w:sz w:val="18"/>
        </w:rPr>
        <w:t xml:space="preserve">Suite 400 </w:t>
      </w:r>
    </w:p>
    <w:p>
      <w:pPr>
        <w:pStyle w:val="TextBody"/>
        <w:bidi w:val="0"/>
        <w:spacing w:before="0" w:after="0"/>
        <w:jc w:val="center"/>
        <w:rPr>
          <w:rFonts w:ascii="Times New Roman" w:hAnsi="Times New Roman"/>
          <w:b/>
          <w:sz w:val="18"/>
        </w:rPr>
      </w:pPr>
      <w:r>
        <w:rPr>
          <w:rFonts w:ascii="Times New Roman" w:hAnsi="Times New Roman"/>
          <w:b/>
          <w:sz w:val="18"/>
        </w:rPr>
        <w:t xml:space="preserve">San Francisco, California 94104 </w:t>
      </w:r>
    </w:p>
    <w:p>
      <w:pPr>
        <w:pStyle w:val="TextBody"/>
        <w:bidi w:val="0"/>
        <w:spacing w:before="0" w:after="0"/>
        <w:jc w:val="center"/>
        <w:rPr>
          <w:rFonts w:ascii="Times New Roman" w:hAnsi="Times New Roman"/>
          <w:b/>
          <w:sz w:val="18"/>
        </w:rPr>
      </w:pPr>
      <w:r>
        <w:rPr>
          <w:rFonts w:ascii="Times New Roman" w:hAnsi="Times New Roman"/>
          <w:b/>
          <w:sz w:val="18"/>
        </w:rPr>
        <w:t xml:space="preserve">(415) 371-8300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120" w:after="0"/>
        <w:jc w:val="center"/>
        <w:rPr>
          <w:rFonts w:ascii="Times New Roman" w:hAnsi="Times New Roman"/>
          <w:b/>
          <w:sz w:val="18"/>
        </w:rPr>
      </w:pPr>
      <w:r>
        <w:rPr>
          <w:rFonts w:ascii="Times New Roman" w:hAnsi="Times New Roman"/>
          <w:b/>
          <w:sz w:val="18"/>
        </w:rPr>
        <w:t xml:space="preserve">Michael S. Lee, Esq. </w:t>
      </w:r>
    </w:p>
    <w:p>
      <w:pPr>
        <w:pStyle w:val="TextBody"/>
        <w:bidi w:val="0"/>
        <w:spacing w:before="0" w:after="0"/>
        <w:jc w:val="center"/>
        <w:rPr>
          <w:rFonts w:ascii="Times New Roman" w:hAnsi="Times New Roman"/>
          <w:b/>
          <w:sz w:val="18"/>
        </w:rPr>
      </w:pPr>
      <w:r>
        <w:rPr>
          <w:rFonts w:ascii="Times New Roman" w:hAnsi="Times New Roman"/>
          <w:b/>
          <w:sz w:val="18"/>
        </w:rPr>
        <w:t xml:space="preserve">Donald C. Reinke, Esq. </w:t>
      </w:r>
    </w:p>
    <w:p>
      <w:pPr>
        <w:pStyle w:val="TextBody"/>
        <w:bidi w:val="0"/>
        <w:spacing w:before="0" w:after="0"/>
        <w:jc w:val="center"/>
        <w:rPr>
          <w:rFonts w:ascii="Times New Roman" w:hAnsi="Times New Roman"/>
          <w:b/>
          <w:sz w:val="18"/>
        </w:rPr>
      </w:pPr>
      <w:r>
        <w:rPr>
          <w:rFonts w:ascii="Times New Roman" w:hAnsi="Times New Roman"/>
          <w:b/>
          <w:sz w:val="18"/>
        </w:rPr>
        <w:t xml:space="preserve">Reed Smith LLP </w:t>
      </w:r>
    </w:p>
    <w:p>
      <w:pPr>
        <w:pStyle w:val="TextBody"/>
        <w:bidi w:val="0"/>
        <w:spacing w:before="0" w:after="0"/>
        <w:jc w:val="center"/>
        <w:rPr>
          <w:rFonts w:ascii="Times New Roman" w:hAnsi="Times New Roman"/>
          <w:b/>
          <w:sz w:val="18"/>
        </w:rPr>
      </w:pPr>
      <w:r>
        <w:rPr>
          <w:rFonts w:ascii="Times New Roman" w:hAnsi="Times New Roman"/>
          <w:b/>
          <w:sz w:val="18"/>
        </w:rPr>
        <w:t xml:space="preserve">1841 Page Mill Road, Suite 110 </w:t>
      </w:r>
    </w:p>
    <w:p>
      <w:pPr>
        <w:pStyle w:val="TextBody"/>
        <w:bidi w:val="0"/>
        <w:spacing w:before="0" w:after="0"/>
        <w:jc w:val="center"/>
        <w:rPr>
          <w:rFonts w:ascii="Times New Roman" w:hAnsi="Times New Roman"/>
          <w:b/>
          <w:sz w:val="18"/>
        </w:rPr>
      </w:pPr>
      <w:r>
        <w:rPr>
          <w:rFonts w:ascii="Times New Roman" w:hAnsi="Times New Roman"/>
          <w:b/>
          <w:sz w:val="18"/>
        </w:rPr>
        <w:t xml:space="preserve">Palo Alto, CA 94304 </w:t>
      </w:r>
    </w:p>
    <w:p>
      <w:pPr>
        <w:pStyle w:val="TextBody"/>
        <w:bidi w:val="0"/>
        <w:spacing w:before="0" w:after="0"/>
        <w:jc w:val="center"/>
        <w:rPr>
          <w:rFonts w:ascii="Times New Roman" w:hAnsi="Times New Roman"/>
          <w:b/>
          <w:sz w:val="18"/>
        </w:rPr>
      </w:pPr>
      <w:r>
        <w:rPr>
          <w:rFonts w:ascii="Times New Roman" w:hAnsi="Times New Roman"/>
          <w:b/>
          <w:sz w:val="18"/>
        </w:rPr>
        <w:t xml:space="preserve">(650) 352-0500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17"/>
        </w:rPr>
      </w:pPr>
      <w:r>
        <w:rPr>
          <w:rFonts w:ascii="Times New Roman" w:hAnsi="Times New Roman"/>
          <w:sz w:val="17"/>
        </w:rPr>
        <w:t xml:space="preserve">Approximate date of commencement of proposed sale to the public: </w:t>
      </w:r>
    </w:p>
    <w:p>
      <w:pPr>
        <w:pStyle w:val="TextBody"/>
        <w:bidi w:val="0"/>
        <w:spacing w:before="0" w:after="0"/>
        <w:jc w:val="center"/>
        <w:rPr>
          <w:rFonts w:ascii="Times New Roman" w:hAnsi="Times New Roman"/>
          <w:sz w:val="17"/>
        </w:rPr>
      </w:pPr>
      <w:r>
        <w:rPr>
          <w:rFonts w:ascii="Times New Roman" w:hAnsi="Times New Roman"/>
          <w:sz w:val="17"/>
        </w:rPr>
        <w:t xml:space="preserve">As soon as practicable after this Registration Statement becomes effective. </w:t>
      </w:r>
    </w:p>
    <w:p>
      <w:pPr>
        <w:pStyle w:val="TextBody"/>
        <w:bidi w:val="0"/>
        <w:spacing w:before="24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check the following box:  ☒ </w:t>
      </w:r>
    </w:p>
    <w:p>
      <w:pPr>
        <w:pStyle w:val="TextBody"/>
        <w:bidi w:val="0"/>
        <w:spacing w:before="240" w:after="0"/>
        <w:jc w:val="left"/>
        <w:rPr>
          <w:rFonts w:ascii="Times New Roman" w:hAnsi="Times New Roman"/>
          <w:sz w:val="17"/>
        </w:rPr>
      </w:pPr>
      <w:r>
        <w:rPr>
          <w:rFonts w:ascii="Times New Roman" w:hAnsi="Times New Roman"/>
          <w:sz w:val="17"/>
        </w:rPr>
        <w:t xml:space="preserve">If this Form is used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7"/>
        </w:rPr>
      </w:pPr>
      <w:r>
        <w:rPr>
          <w:rFonts w:ascii="Times New Roman" w:hAnsi="Times New Roman"/>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1"/>
        <w:gridCol w:w="104"/>
        <w:gridCol w:w="4807"/>
        <w:gridCol w:w="133"/>
        <w:gridCol w:w="2629"/>
        <w:gridCol w:w="104"/>
        <w:gridCol w:w="267"/>
      </w:tblGrid>
      <w:tr>
        <w:trPr/>
        <w:tc>
          <w:tcPr>
            <w:tcW w:w="2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 Selling Stockholders may not resell these securities until the registration statement filed with the Securities and Exchange Commission is effective. This preliminary prospectus is not an offer to sell these securities, nor is it a solicitation of offers to buy these securities, in any state where the offer or sale is not permitted.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color w:val="FF4338"/>
                <w:sz w:val="20"/>
              </w:rPr>
            </w:pPr>
            <w:r>
              <w:rPr>
                <w:b/>
                <w:color w:val="FF4338"/>
                <w:sz w:val="20"/>
              </w:rPr>
              <w:t>PRELIMINARY PROSPECTUS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color w:val="FF4338"/>
              </w:rPr>
            </w:pPr>
            <w:r>
              <w:rPr>
                <w:b/>
                <w:color w:val="FF4338"/>
              </w:rPr>
              <w:t>SUBJECT TO COMPLETION</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b/>
                <w:color w:val="FF4338"/>
                <w:sz w:val="20"/>
              </w:rPr>
            </w:pPr>
            <w:r>
              <w:rPr>
                <w:b/>
                <w:color w:val="FF4338"/>
                <w:sz w:val="20"/>
              </w:rPr>
              <w:t>DATED JULY 15, 2026</w:t>
            </w:r>
          </w:p>
        </w:tc>
      </w:tr>
    </w:tbl>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4243705" cy="1139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43705" cy="113982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Resale of up to 5,522,551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This prospectus relates to the potential resale from time to time of up to 5,522,551 shares of voting common stock, par value $0.0001 per share, of Jaguar Health, Inc. (the “Company,” “we,” “our” or “us”) by the selling stockholders identified herein (the “Selling Stockholders”). The shares of common stock to which this prospectus relates consist of shares that have been or may be issued by us to the Selling Stockholders pursuant to a securities purchase agreement, dated as of June 9, 2026 by and between us and the Selling Stockholders (the “Preferred Stock Purchase Agreement”). Such shares of our common stock include (i) up to 4,395,605 shares of common stock (the “Redemption Shares”) that are issuable upon redemption of the shares of Series P Non-Convertible Preferred Stock (the “Series P Preferred Stock”), which we sold and issued to the Selling Stockholders pursuant to the Preferred Stock Purchase Agreements, assuming a redemption price equal to the Floor Price (as defined in the Certificate of Designation of Preferences, Rights and Limitations of Series P Non-Convertible Preferred Stock (the “Certificate of Designation”)), or upon exercise of the pre-funded warrants to purchase common stock which the Company may issue in lieu of the Redemption Shares in accordance with the terms of the Certificate of Designation, (ii) up to 72,000 shares of common stock (the “Commencement Shares”) that are issuable upon exercise of the pre-funded warrants to purchase common stock (the “Commencement Pre-Funded Warrants”), which have been issued by the Company to the Selling Stockholders as consideration for the Selling Stockholders’ execution and delivery of the Preferred Stock Purchase Agreement, and (iii) up to 1,054,946 shares of common stock (the “Dividend Shares”) that are issuable as dividends to the holders of the outstanding shares of Series P Preferred Stock at a rate of 8% per annum on the stated value of the Series P Preferred Stock over an assumed term of three years and assuming that (x) the Company elects to issue payment of dividends solely in shares of common stock during such period and (y) the number of shares of common stock issued is calculated using the Floor Price.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Such registration does not mean that the Selling Stockholders will actually offer or sell any of these shares.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We are not selling any securities under this prospectus and will not receive any of the proceeds from the sale of the shares of our common stock by the Selling Stockholders.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The Selling Stockholders may offer, sell or distribute all or a portion of the shares of our common stock acquired under the Preferred Stock Purchase Agreement and pursuant to the Certificate of Designation, and hereby registered publicly or through private transactions at prevailing market prices or at negotiated prices. We will bear all costs, expenses and fees in connection with the registration of the shares of our common stock, including with regard to compliance with state securities or “blue sky” laws. The Selling Stockholders will bear all commissions and discounts, if any, attributable to its sale of shares of our common stock. See “</w:t>
      </w:r>
      <w:r>
        <w:rPr>
          <w:rFonts w:ascii="Times New Roman" w:hAnsi="Times New Roman"/>
          <w:i/>
          <w:sz w:val="18"/>
          <w:u w:val="single"/>
        </w:rPr>
        <w:t>Plan of Distribution</w:t>
      </w:r>
      <w:r>
        <w:rPr>
          <w:rFonts w:ascii="Times New Roman" w:hAnsi="Times New Roman"/>
          <w:sz w:val="18"/>
        </w:rPr>
        <w:t xml:space="preserve">” for more information about how the Selling Stockholders may sell or otherwise dispose of the shares of common stock being registered pursuant to this prospectus. Each Selling Stockholder is an underwriter under the Securities Act of 1933, as amended (“Securities Act”) with respect to the resale of shares held by it.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You should read this prospectus and any prospectus supplement or amendment, together with additional information described under the headings “</w:t>
      </w:r>
      <w:r>
        <w:rPr>
          <w:rFonts w:ascii="Times New Roman" w:hAnsi="Times New Roman"/>
          <w:sz w:val="18"/>
          <w:u w:val="single"/>
        </w:rPr>
        <w:t>Where You Can Find More Information</w:t>
      </w:r>
      <w:r>
        <w:rPr>
          <w:rFonts w:ascii="Times New Roman" w:hAnsi="Times New Roman"/>
          <w:sz w:val="18"/>
        </w:rPr>
        <w:t xml:space="preserve">”, carefully before you invest in our securities.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Our common stock is listed on the Nasdaq Capital Market (“Nasdaq”) under the symbol “JAGX.” On July 14, 2026, the last reported sales price of our common stock on Nasdaq was $2.17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2"/>
        </w:rPr>
        <w:t>Investing in our securities involves a high degree of risk. You should review carefully the risks and uncertainties described under the heading “</w:t>
      </w:r>
      <w:hyperlink w:anchor="tx117884_5">
        <w:r>
          <w:rPr>
            <w:rStyle w:val="InternetLink"/>
            <w:rFonts w:ascii="Times New Roman" w:hAnsi="Times New Roman"/>
            <w:b/>
            <w:i/>
            <w:sz w:val="22"/>
          </w:rPr>
          <w:t>Risk Factors</w:t>
        </w:r>
      </w:hyperlink>
      <w:r>
        <w:rPr>
          <w:rFonts w:ascii="Times New Roman" w:hAnsi="Times New Roman"/>
          <w:sz w:val="22"/>
        </w:rPr>
        <w:t xml:space="preserve">” </w:t>
      </w:r>
      <w:r>
        <w:rPr>
          <w:rFonts w:ascii="Times New Roman" w:hAnsi="Times New Roman"/>
          <w:b/>
          <w:sz w:val="22"/>
        </w:rPr>
        <w:t xml:space="preserve">beginning on page 13 of this prospectus, and under similar headings in any amendment or supplement to this prospectus or in any other documents incorporated by reference into this prospectus. </w:t>
      </w:r>
    </w:p>
    <w:p>
      <w:pPr>
        <w:pStyle w:val="TextBody"/>
        <w:bidi w:val="0"/>
        <w:spacing w:before="24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2" w:name="toc"/>
      <w:bookmarkEnd w:id="2"/>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11788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2">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4">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6">
              <w:r>
                <w:rPr>
                  <w:rStyle w:val="InternetLink"/>
                  <w:rFonts w:ascii="Times New Roman" w:hAnsi="Times New Roman"/>
                  <w:sz w:val="20"/>
                </w:rPr>
                <w:t>THE COMMITTED EQUITY FINANCING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8">
              <w:r>
                <w:rPr>
                  <w:rStyle w:val="InternetLink"/>
                  <w:rFonts w:ascii="Times New Roman" w:hAnsi="Times New Roman"/>
                  <w:sz w:val="20"/>
                </w:rPr>
                <w:t>DIVIDEND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9">
              <w:r>
                <w:rPr>
                  <w:rStyle w:val="InternetLink"/>
                  <w:rFonts w:ascii="Times New Roman" w:hAnsi="Times New Roman"/>
                  <w:sz w:val="20"/>
                </w:rPr>
                <w:t>THE 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11">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1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17884_15">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17884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have filed with the SEC pursuant to which the Selling Stockholders named herein may, from time to time, offer and sell or otherwise dispose of the securities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including the Information Incorporated by Reference herein, in making your investment decision. You should also read and consider the information in the documents to which we have referred you under the captions “</w:t>
      </w:r>
      <w:r>
        <w:rPr>
          <w:rFonts w:ascii="Times New Roman" w:hAnsi="Times New Roman"/>
          <w:sz w:val="20"/>
          <w:u w:val="single"/>
        </w:rPr>
        <w:t>Where You Can Find More Information</w:t>
      </w:r>
      <w:r>
        <w:rPr>
          <w:rFonts w:ascii="Times New Roman" w:hAnsi="Times New Roman"/>
          <w:sz w:val="20"/>
        </w:rPr>
        <w:t>” and “</w:t>
      </w:r>
      <w:r>
        <w:rPr>
          <w:rFonts w:ascii="Times New Roman" w:hAnsi="Times New Roman"/>
          <w:sz w:val="20"/>
          <w:u w:val="single"/>
        </w:rPr>
        <w:t>Incorporation of Certain Information by Reference</w:t>
      </w:r>
      <w:r>
        <w:rPr>
          <w:rFonts w:ascii="Times New Roman" w:hAnsi="Times New Roman"/>
          <w:sz w:val="20"/>
        </w:rPr>
        <w:t xml:space="preserv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prospectus is accurate as of the date on the front cover. Information incorporated by reference into this prospectus is accurate as of the date of the document from which the information is incorporated. You should not assume that the information contained in this prospectus is accurate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when used in this report, the terms the “Company,” “Jaguar,” “we,” “us, “our” and similar terms refer to Jaguar Health, Inc.,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17884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forward-looking statements including, but not limited to, statements regarding our liquidity, anticipated capital expenditures, and expected sales to the Selling Stockholders. </w:t>
      </w:r>
    </w:p>
    <w:p>
      <w:pPr>
        <w:pStyle w:val="TextBody"/>
        <w:bidi w:val="0"/>
        <w:spacing w:before="240" w:after="0"/>
        <w:jc w:val="left"/>
        <w:rPr>
          <w:rFonts w:ascii="Times New Roman" w:hAnsi="Times New Roman"/>
          <w:sz w:val="20"/>
        </w:rPr>
      </w:pPr>
      <w:r>
        <w:rPr>
          <w:rFonts w:ascii="Times New Roman" w:hAnsi="Times New Roman"/>
          <w:sz w:val="20"/>
        </w:rPr>
        <w:t>All statements other than statements of historical facts contained in this prospectus, including statements regarding our future financial position, liquidity, business strategy and plans and objectives of management for future operations, are forward-looking statements. The words “believe,” “may,” “estimate,” “continue,” “anticipate,” “intend,” “should,” “plan,” “could,” “target,” “potential,” “is likely,” “will,” “expect” and similar expressions, as they relate to us,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those described in “</w:t>
      </w:r>
      <w:r>
        <w:rPr>
          <w:rFonts w:ascii="Times New Roman" w:hAnsi="Times New Roman"/>
          <w:sz w:val="20"/>
          <w:u w:val="single"/>
        </w:rPr>
        <w:t>Risk Factors</w:t>
      </w:r>
      <w:r>
        <w:rPr>
          <w:rFonts w:ascii="Times New Roman" w:hAnsi="Times New Roman"/>
          <w:sz w:val="20"/>
        </w:rPr>
        <w:t xml:space="preserve">” and elsewhere in this prospectus and in our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expressly disclaim any obligation or undertaking to update or revise any forward-looking statements contained herein to reflect events or circumstances after the date on which such statements were made or to reflect the occurrence of unanticipated events, except as may be required by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117884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information contained elsewhere in this prospectus or incorporated by reference. It may not contain all of the information that you should consider before investing in our securities. You should read this entire prospectus carefully, including the “Risk Factors” section, and the financial statements and related notes included or incorporated by reference herein. This prospectus includes forward-looking statements that involve risks and uncertainties. See “Cautionary Statement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in conjunction with Jaguar family company Napo Pharmaceuticals, Inc. (“Napo”), develops novel proprietary prescription drugs sustainably derived from plants for people with complicated gastrointestinal (“GI”) disease states. Jaguar family companies Napo and Napo Therapeutics, S.p.A., an Italian corporation Jaguar established in Milan, Italy in 2021, are focused on expanding global crofelemer access and are developing new therapies for orphan and rare GI conditions. Jaguar Animal Health is a Jaguar tradename. Magdalena Biosciences, a joint venture formed by Jaguar and Filament Health Corp., is focused on developing novel prescription medicines derived from plants for weight gain prevention and mental health indications. Jaguar Animal Health is a tradename the Company uses in the animal health space. In the animal health field, the Company focuses on developing and commercializing non-prescription GI products for companion and production animals.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was founded in San Francisco, California, as a Delaware corporation on June 6, 2013 (“inception”). The Company was a majority-owned subsidiary of Napo until the close of the Company’s initial public offering on May 18, 2015. The Company was formed to develop and commercialize first-in-class prescription and non-prescription products for companion animals. On July 31, 2017, Jaguar completed a merger with Napo pursuant to the Agreement and Plan of Merger dated March 31, 2017, by and among Jaguar, Napo, Napo Acquisition Corporation (“Merger Sub”), and Napo’s representative (the “Merger Agreement”). In accordance with the terms of the Merger Agreement, upon the completion of the merger, Merger Sub merged with and into Napo, with Napo surviving as the wholly owned subsidiary (the “Merger” or “Napo Merger”). Immediately following the Merger, Jaguar changed its name from “Jaguar Animal Health, Inc.” to “Jaguar Health, Inc.” Napo now operates as a wholly owned subsidiary of Jaguar focused on human health, including the ongoing development of crofelemer and commercialization of Mytesi.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Napo’s crofelemer 125 mg delayed-release tablets (Mytesi) is an FDA-approved prescription drug for the symptomatic relief of noninfectious diarrhea in adults with HIV/AIDS on antiretroviral therapy. In January 2026, following Napo’s entry into a US licensing agreement with an affiliate of privately held Future Pak, LLC (“Future Pak”), Future Pak became the exclusive marketer for Mytesi as well as the tablet formulation for animal health, Canalevia-CA1, which is Jaguar’s crofelemer prescription drug for the treatment of chemotherapy-induced diarrhea in dogs. Jaguar was provided with $16.0 million of non-dilutive capital in January 2026 upon closing of the agreement with Future Pak, with an additional $2.0 million due to Jaguar upon completion of post-closing conditions. Per the terms of the agreement, Jaguar also has the opportunity to receive up to $20 million in milestone payments and other future payments. Jaguar will continue to manufacture crofelemer for Mytesi and Canalevia-CA1 for Future Pak. Mytesi and Canalevia-CA1 are both delayed-release tablet formulations of crofelemer.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2025, Napo conducted a Type C Meeting with the Division of Gastroenterology at the FDA to discuss the responder analysis results of crofelemer in the cohort of breast cancer patients receiving targeted therapies with or without cytotoxic chemotherapy for prophylaxis of diarrhea from the company’s pivotal OnTarget Phase 3 clinical trial. OnTarget was a 24-week (two 12-week stages), randomized, multicenter,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placebo-controlled, double-blind global study to evaluate the safety and efficacy of crofelemer in diarrhea prophylaxis in adult solid tumor patients receiving targeted therapies with or without standard chemotherapy. As previously announced, the top line results from the OnTarget study showed that the trial did not meet its primary endpoint for the prespecified analysis of all tumor types and all targeted therapies. As previously announced, in the prespecified subgroup of patients with breast cancer, crofelemer showed statistically significant improvement in the monthly responder analysis. Breast cancer patients represent one of the largest group of adult patients with solid tumors with patients often remaining on targeted therapy over prolonged periods in both adjuvant and metastatic settings.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results in the cohort of patients with breast cancer are based on responder analysis, as was also the primary endpoint in the pivotal Phase 3 ADVENT trial that led to FDA approval of crofelemer for its currently commercialized indication, under the brand name Mytesi, for the symptomatic relief of noninfectious diarrhea in adults with HIV/AIDS on antiretroviral therapy. Patients with breast cancer accounted for 183 of the 287 participants in the OnTarget clinical trial, and the results of responder analysis for patients with breast cancer were the subject of a poster presentation at the Multinational Association of Supportive Care in Cancer (MASCC) in Seattle in June 2025. A greater proportion of patients with breast cancer randomized to the crofelemer arm were monthly responders for the entire 3-month period of the OnTarget study. This research underscores the potential of crofelemer for prophylaxis of cancer therapy-related diarrhea (CTD) in adult patients with breast cancer receiving targeted therapies with or without chemotherapy.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announced, it has been reported that patients with cancer-related diarrhea (“CRD”) were 40% more likely to discontinue chemotherapy or targeted therapy than patients without CRD. The persistence of index cancer therapy and the time to switch were also lower for patients with CRD. Strategies to control CRD and continue cancer therapy are urgently needed. Furthermore, it has been reported that patients with CRD used significantly more resources, including outpatient services, emergency room visits, and hospitalizations. Effective prevention of CRD provides an untapped market opportunity to reduce the overall cost of cancer care. Findings from studies have indicated that patients with CRD had nearly 2.9 times higher all-cause total cost of care than patients without CRD after adjusting for covariates. Thus, prophylaxis of CRD is expected to result in a significant reduction in cancer treatment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Napo’s Type C Meeting in May 2025 with the Division of Gastroenterology of the FDA to discuss these statistically significant responder analysis results for adult patients with breast cancer in the OnTarget trial. Napo proposed two concurrent potential approaches during the meeting for potentially making crofelemer available to metastatic breast cancer patients with the significant unmet medical need of CTD: 1) proposed conduct of a pivotal treatment trial to facilitate approval of crofelemer for CTD in patients with metastatic breast cancer; and 2) the conduct of an expanded access program for treatment of breast cancer patients with CTD who may not be eligible for the planned phase 3 treatment trial, by including breast cancer patients in the adjuvant and neoadjuvant settings. The FDA formally acknowledged both of these key discussion points in correspondence to Napo.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developing a novel, highly concentrated lyophilized crofelemer powder for oral solution for its prioritized focus on intestinal failure (IF) for the treatment of the ultrarare pediatric disorder, microvillus inclusion disease (MVID), and short bowel syndrome with intestinal failure (SBS-IF). Crofelemer oral powder for solution formulation is a paradigm-shifting and first-in-class drug for the development of novel therapies for these serious unmet medical conditions. This lyophilized oral powder for solution is in advanced clinical development with near-term New Drug Application (NDA) opportunity for MVID and rapid time to market for this potentially breakthrough drug. The lyophilized crofelemer powder for solution has a unique IP position with a long period of exclusivity due to the botanical origin of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Intestinal failure (IF) is a debilitating condition that often requires patients to receive life-sustaining fluids, electrolytes and nutrients through intravenous administration, which consists of total parenteral nutrition (TPN)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with supplemental intravenous fluids, which together constitute parenteral support (PS). Many intestinal failure patients require PS up to 7 days a week, and sometimes for 20 hours or more per day. While crucial for IF patients, PS is associated with significant toxicities to patients, similar to some toxicities associated with chemotherapy, often causing serious health problems including infections, metabolic complications, and liver and kidney function problems. These symptoms may emerge at any time in intestinal failure patients and often become life-threatening.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MVID is an ultrarare, fatal pediatric disorder with around 200 patients in the US and EU combined. There are currently no approved therapies and only lifelong PS, making it one of the most serious unmet medical needs in pediatric patients due to the lethal natural history of the disease. Crofelemer’s unique physiological mechanism of modulating intestinal chloride ion secretion results in normalizing electrolyte and fluid balance in the gastrointestinal (GI) tract which reduces the need for electrolyte and fluid requirements through PS. Since MVID patients lack a brush border membrane, this physiological MOA addresses the pathophysiology of MVID, and represents a paradigm-shifting therapy for reduction of PS, which would potentially reduce TPN- and MVID-related comorbidities and improve clinical outcomes.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SBS-IF affects an estimated 12,000 patients in the US. SBS-IF patients without colon-incontinuityhave poor prognosis with significant comorbidities associated with life-sustaining PS and disease pathology. Despite availability of GLP-2 therapies, which require intestinal adaptation of 2-3 years following abdominal surgery in a subset of SBS-IF patients, PS remains the life-sustaining standard of care for these patients. Novel crofelemer powder for oral solution is a first-in-class paradigm-shifting therapy which does not require intestinal adaptation and can be initiated within 6-12 months after surgery upon stabilization of PS. Since it is not a growth hormone, it can be used in SBS-IF patients who have had abdominal surgery due to cancer, mesenteric etiologies, and inflammatory bowel conditions such as Crohn’s disease and colitis. Furthermore, crofelemer, due to its unique physiological MOA of modulating intestinal chloride ion secretion for maintaining electrolyte and fluid balance, can be used in combination with GLP-2 analogs as well as in patients who are either intolerant or for whom GLP-2 is contraindicated.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 affects approximately 10,000 to 20,000 people in the US, according to the Crohn’s &amp; Colitis Foundation, and it is estimated that the population of SBS patients in Europe is approximately the same size, and the US population of SBS-IF patients was estimated at 12,000 patients in 2021 in a well-done epidemiology study. Despite limited treatment options, the global market for SBS was valued at approximately $1.64 billion in 2024 and is projected to reach approximately $8.0 billion by 2033, according to a report by DataM Intelligence. MVID is an ultrarare pediatric disease, with an estimated prevalence of a couple of hundred patients globally. Jaguar estimates that the global market size for MVID therapies is in the range of $50 million to $100 million, based on market research with key opinion leaders (KOLs) and payers.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Crofelemer was granted Orphan Drug Designation (“ODD”) by the FDA in February 2023 for MVID, an ultra-rare congenital diarrheal disorder (“CDD”), and granted ODD for MVID by the European Medicines Agency (“EMA”) in October 2022. Crofelemer was granted ODD for short bowel syndrome (“SBS”) by the EMA in December 2021 and by the FDA in August 2017. In August 2023, the FDA activated Napo’s Investigational New Drug (“IND”) application for a new crofelemer powder for oral solution formulation for the treatment of MVID.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Orphan Drug Act (“ODA”) in the US grants special status to a small molecule drug or biological product to treat a rare disease or condition upon request of a sponsor. This status is referred to as ODD (or sometimes “orphan status”). ODD qualifies the drug’s sponsor for various development incentives, including tax credits for qualified clinical testing and relief of filing fees. Additionally, the ODA provides a seven-year period of marketing exclusivity to the first sponsor who obtains marketing approval for a designated orphan drug. In the EU, receipt of ODD supports some specific regulatory pathways, and sponsors who obtain ODD for their drug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can benefit from Scientific Advice from the EMA for clinical trials for the orphan indication and receive market exclusivity for a period of ten years once the medicine is approved for commercialization.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currently supporting multiple proof-of-concept (POC) investigator-initiated trials (IIT), and also conducting two pivotal clinical trials, of crofelemer powder for oral solution for MVID and SBS-IF in the US, European Union (EU), and/or Middle East. The Company’s trial to evaluate the safety and efficacy of crofelemer powder for oral solution in pediatric MVID patients is ongoing at multiple sites. Napo Therapeutics is conducting a Phase 2 study in adult SBS-IF patients at multiple clinical sites in Italy and Germany. An open label IIT is ongoing in pediatric IF patients with MVID and/or SBS in Abu Dhabi in the United Arab Emirates. Groundbreaking results from pediatric IF patients with MVID and SBS-IF were presented at North American Society for Pediatric Gastroenterology, Hepatology and Nutrition (NASPGHAN 2025) in Chicago. The study showed that the liquid formulation of crofelemer powder resulted in a reduction of parenteral support (PS) of up to 37% in a pediatric MVID patient who has remained on crofelemer therapy for &gt;1 year. PS reductions of up to 15.6% were observed in two pediatric SBS-IF patients who have also remained on crofelemer oral liquid treatment for &gt;1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longer-term data from the ongoing investigator-initiated trial of crofelemer in pediatric IF patients in the United Arab Emirates will be presented at the 58th Annual Meeting of the European Society for Pediatric Gastroenterology, Hepatology &amp; Nutrition (ESPGHAN). An additional MVID infant patient is being treated with oral crofelemer, and safety and efficacy in the infant receiving crofelemer will also be presented at ESPGHAN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also supporting an IIT in the US to evaluate crofelemer powder for oral solution for treatment of adult SBS-IF patients. The Company plans to pursue approval of crofelemer powder for oral solution for MVID in the US following the completion of the pivotal pediatric MVID trial. In accordance with the guidelines of specific EU countries, published data from such clinical investigations could support reimbursed early patient access to crofelemer for these debilitating IF conditions. Participation in early access programs, which do not exist in the US, provides an opportunity for reimbursement while impacting the morbidity and high cost of care for these chronic unmet needs. Additionally, the Company expects that if even just a very small number of MVID patients show benefit with crofelemer, this may potentially allow expedited pathways for regulatory approval in the US. In the US, Napo plans to pursue Breakthrough Therapy Designation (BTD) from the FDA. If a drug is designated as breakthrough therapy, the FDA will expedite the review timeline for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Crofelemer is in development for symptomatic relief and treatment of moderate-to-severe diarrhea, with or without concomitant antimicrobial therapy, from bacterial, viral, and parasitic infections, including Vibrio cholerae, the bacterium that causes cholera.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Jaguar is poised to realize the opportunities for the commercialization of crofelemer powder for oral solution for our IF programs from MVID and SBS-IF. Jaguar, through Napo, holds global unencumbered rights for crofelemer.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Equity Line of Credit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the common stock purchase agreement (the “Purchase Agreement”) with one of the Selling Stockholders, C/M Capital Master Fund, LP (the “Investor”), which provides that, upon the terms and subject to the conditions set forth therein, the Investor is committed to purchase up to an aggregate of $40 million of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Purchase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 </w:t>
      </w:r>
      <w:r>
        <w:rPr>
          <w:rFonts w:ascii="Times New Roman" w:hAnsi="Times New Roman"/>
          <w:sz w:val="20"/>
          <w:u w:val="single"/>
          <w:bdr w:val="single" w:sz="8" w:space="1" w:color="000000"/>
        </w:rPr>
        <w:t>Fixed Purchase</w:t>
      </w:r>
      <w:r>
        <w:rPr>
          <w:rFonts w:ascii="Times New Roman" w:hAnsi="Times New Roman"/>
          <w:sz w:val="20"/>
          <w:bdr w:val="single" w:sz="8" w:space="1" w:color="000000"/>
        </w:rPr>
        <w:t xml:space="preserve">: on the Commencement Date (as defined in the Purchase Agreement) and from time to time thereafter, subject to the satisfaction of certain conditions and on any business day selected by the Company where the closing sale price of the common stock is equal to or greater than $1.10 per share, as adjusted for any reorganization, recapitalization, stock split, reverse stock split, or other similar transactions that occur on or after the date of the Purchase Agreement (the “ELOC Floor Price”), the Company shall have the right, but not the obligation, to direct the Investor to purchase a Fixed Purchase Share Amount (as defined in the Purchase Agreement), not to exceed the applicable Fixed Purchase Maximum Amount (as defined in the Purchase Agreement), at the applicable Fixed Purchase Price (as defined in the Purchase Agreement) therefor on the applicable Fixed Purchase Date in accordance with the Purchase Agreement (each such purchase a “Fixed Purchase”); provided, however, that the Investor’s committed obligation under any single Fixed Purchase shall not exceed $1,500,000 (provided that all shares of common stock in respect of all prior Fixed Purchases, VWAP Purchases and Additional VWAP Purchases shall have been delivered to the Investor via Deposit/Withdrawal at Custodian (“DWAC”));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 </w:t>
      </w:r>
      <w:r>
        <w:rPr>
          <w:rFonts w:ascii="Times New Roman" w:hAnsi="Times New Roman"/>
          <w:sz w:val="20"/>
          <w:u w:val="single"/>
          <w:bdr w:val="single" w:sz="8" w:space="1" w:color="000000"/>
        </w:rPr>
        <w:t>VWAP Purchase</w:t>
      </w:r>
      <w:r>
        <w:rPr>
          <w:rFonts w:ascii="Times New Roman" w:hAnsi="Times New Roman"/>
          <w:sz w:val="20"/>
          <w:bdr w:val="single" w:sz="8" w:space="1" w:color="000000"/>
        </w:rPr>
        <w:t xml:space="preserve">: on the Commencement Date and from time to time thereafter, and on any business day selected by the Company where the closing sale price of the common stock is equal to or greater than the ELOC Floor Price, subject to the satisfaction of certain conditions, in addition to the Fixed Purchase, the Company shall also have the right, but not the obligation, to direct the Investor to purchase the applicable VWAP Purchase Share Amount (as defined in the Purchase Agreement), not to exceed the applicable VWAP Purchase Maximum Amount (as defined in the Purchase Agreement), at the applicable VWAP Purchase Price (as defined in the Purchase Agreement) therefor on the applicable VWAP Purchase Date in accordance with the Purchase Agreement (each such purchase, a “VWAP Purchase”); provided, however, that the Investor’s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(iii) </w:t>
      </w:r>
      <w:r>
        <w:rPr>
          <w:rFonts w:ascii="Times New Roman" w:hAnsi="Times New Roman"/>
          <w:sz w:val="20"/>
          <w:u w:val="single"/>
          <w:bdr w:val="single" w:sz="8" w:space="1" w:color="000000"/>
        </w:rPr>
        <w:t>Additional VWAP Purchase</w:t>
      </w:r>
      <w:r>
        <w:rPr>
          <w:rFonts w:ascii="Times New Roman" w:hAnsi="Times New Roman"/>
          <w:sz w:val="20"/>
          <w:bdr w:val="single" w:sz="8" w:space="1" w:color="000000"/>
        </w:rPr>
        <w:t xml:space="preserve">: on the Commencement Date and from time to time thereafter, subject to the satisfaction of certain conditions, in addition to the Fixed Purchase and VWAP Purchase, the Company shall also have the right, but not the obligation, to direct the Investor to purchase the applicable Additional VWAP Purchase Share Amount (as defined in the Purchase Agreement), not to exceed the applicable Additional VWAP Purchase Maximum Amount (as defined in the Purchase Agreement), at the applicable Additional VWAP Purchase Price (as defined in the Purchase Agreement) therefor on the applicable Additional VWAP Purchase Date in accordance with the Purchase Agreement (each such purchase, an “Additional VWAP Purchase”); provided, however, that the Investor’s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purchase terms are subject to certain conditions and limitations, including daily volume and dollar amount limitations with respect to each type of purchase described above within a given day, and a 4.99% beneficial ownership limitation with respect to the Investor’s ownership of the Company’s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the Investor’s execution and delivery of the Purchase Agreement, the Company agreed to issue to the Investor on the effective date of the ELOC Registration Statement (as defined hereunder) $800,000 worth of the Company’s common stock, valued at the VWAP Purchase Price as of such effective date (the “Commitment Shares”). The Commitment Shares will be included in the ELOC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Purchase Agreement, until either the stockholder approval (as defined in the Purchase Agreement) (the “Stockholder Approval for the ELOC”) is obtained or certain other conditions are met, the Company shall not sell shares of common stock to the Investor under the Purchase Agreement to the extent that after giving effect thereto, the aggregate number of shares of common stock that would be issued pursuant to the Purchase Agreement would exceed 19.99% of the number of shares of common stock issued and outstanding immediately prior to the execution of the Purchase Agreement. As previously reported, the Company reconvened its 2026 annual meeting of stockholders (the “Annual Meeting”) on June 8, 2026 and obtained, among others, the Stockholder Approval for the ELOC.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earlier terminated as provided thereunder, the Purchase Agreement shall terminate automatically on the earliest to occur of (i) the expiration of the ELOC Registration Statement pursuant to Rule 415(a)(5) of the Securities Act, (ii) the date on which the Investor shall have purchased the maximum amount pursuant to the Purchase Agreement, (iii) the date on which the common stock shall have failed to be listed or quoted on the Trading Market or any Eligible Market (both terms as defined in the Purchase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may be terminated at any time by the mutual written consent of the parties, effective as of the date of such mutual written consent unless otherwise provided in such written consent. Either the Company or the Investor may also terminate the Purchase Agreement unilaterally under certain circumstances provided therein.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includes representations, warranties, and covenants customary for a transaction of this type.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Purchase Agreement, the Company entered into a registration rights agreement with the Investor (the “ELOC Registration Rights Agreement”), pursuant to which the Company is required to file a registration statement on Form S-1 (the “ELOC Registration Statement”) within 30 days after the execution date of the Purchase Agreement, to register the resale of all of (i) the shares of common stock to be sold and issued by the Company to the Investor under the Purchase Agreement, (ii) the Commitment Shares, and (iii) any securities of the Company issued or issuable with respect to the forementioned shares or Commitment Shares. The Company shall use its commercially reasonable efforts to have the ELOC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Series P Preferred Stock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securities purchase agreements (each a “Preferred Stock Purchase Agreement” and collectively, the “Preferred Stock Purchase Agreements”) with the Selling Stockholders, pursuant to which the Company agreed to issue and sell to the Selling Stockholders in a private placement an aggregate of 240 shares (the “Preferred Shares”) of Series P Preferred Stock for an aggregate purchase price of $2 million (the “Preferred Stock Financing”). The Preferred Stock Financing closed June 9,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the Selling Stockholders’ execution and delivery of the Preferred Stock Purchase Agreements, the Company agreed to issue to the Selling Stockholders within one trading day after the filing date of the registration statement relating to the Preferred Stock Financing (the “Preferred Registration Statement”) pre-funded warrants (the “Commencement Pre-Funded Warrants”), exercisable to purchase up to an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number of shares of common stock equal to $72,000 divided by the greater of (i) the average VWAP of the common stock over the five trading day period immediately preceding the filing of the initial Preferred Registration Statement, and (ii) 20% of the Nasdaq Minimum Price (as defined in Nasdaq Rule 5635(d)(1)(A)) of common stock on the execution date of the Preferred Stock Purchase Agreements. The shares of common stock issuable upon exercise of the Commencement Pre-Funded Warrants will be included in the Preferred Registration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Preferred Stock Purchase Agreements, the Company entered into a registration rights agreement with the Selling Stockholders (the “Preferred Registration Rights Agreement”), pursuant to which the Company is required to file a registration statement on Form S-1 (the “Preferred Registration Statement”) within 30 days after the execution date of the Preferred Registration Rights Agreement, to register the resale of (i) all of the Redemption Shares (as defined hereunder) that may, from time to time, be issued or become issuable to the Selling Stockholders under the Preferred Stock Purchase Agreements and the related Transaction Documents (as defined therein) (without regard to any limitation or restriction on purchases), (ii) the shares of common stock issued or issuable upon exercise of the Pre-Funded Warrants (as defined in the Preferred Stock Purchase Agreements) (the “Warrant Shares”), and (iii) any and all shares of capital stock issued or issuable with respect to the Redemption Shares or Warrant Shares as a result of any stock split, stock dividend, recapitalization, exchange or similar event or otherwise, without regard to any limitation on purchases under the Preferred Stock Purchase Agreements or the Transaction Documents. The Company shall use its commercially reasonable efforts to have the Preferred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Dividend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18, 2026, the Company announced that its board of directors declared a special one-time dividend of one-tenth of one share of Series O Preferred Stock for each share of voting common stock outstanding, plus each share issuable upon exercise of certain warrants to purchase, in aggregate, 2,400,765 shares of common stock with dividend rights outstanding (the “Eligible Warrants”), at the close of business on March 2, 2026. The preferred stock dividend was paid on March 4,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preferred stock dividend, on March 2, 2026 the Company filed a Certificate of Designation of Preferences, Rights and Limitations of Series O Convertible Preferred Stock with the Secretary of State of the State of Delaware, to designate 1,557,000 shares of the preferred stock, par value $0.0001 per share, as Series O Convertible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potential issuance of a large number of shares of common stock upon the conversion of our Series O Preferred Stock may have a negative effect on the trading price of our common stock as well as a significant dilutive effect. See “</w:t>
      </w:r>
      <w:r>
        <w:rPr>
          <w:rFonts w:ascii="Times New Roman" w:hAnsi="Times New Roman"/>
          <w:i/>
          <w:sz w:val="20"/>
          <w:bdr w:val="single" w:sz="8" w:space="1" w:color="000000"/>
        </w:rPr>
        <w:t>Risk Factors – Risks Related to the Preferred Stock Dividend</w:t>
      </w:r>
      <w:r>
        <w:rPr>
          <w:rFonts w:ascii="Times New Roman" w:hAnsi="Times New Roman"/>
          <w:sz w:val="20"/>
          <w:bdr w:val="single" w:sz="8" w:space="1" w:color="000000"/>
        </w:rPr>
        <w:t xml:space="preserve">” in our Annual Report on Form 10-K for the year ended December 31, 2025 filed with the SEC on April 7, 2026.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Conversion of the Series O 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25, 2026, the Company completed the conversion (the “Conversion”) of Series O Preferred Stock. Effective as of 12:00 p.m. Eastern Time on June 25, 2026, all of the then outstanding shares of Series O Preferred Stock and all shares of Series O Preferred Stock issuable upon exercise of the Eligible Warrants automatically converted into shares of common stock (the “Conversion Shares”) at a conversion ratio equal to 3.209 shares of common stock for each share of Series O Preferred Stock. Immediately upon completion of the Conversion, there were 4,857,211 shares of common stock issued and outstanding, and the holders of the Eligible Warrants are entitled to receive, upon exercise of the Eligible Warrants, up to 839,000 shares of common stock, which consist of 68,593 Warrant Shares (as defined in the Eligible Warrants) and 770,407 Conversion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the State of Delaware on June 6, 2013. Our principal executive office is located at 200 Pine Street, Suite 400, San Francisco, CA 94104, for human health prescription drugs, and the telephone number is (415) 371 8300. We have an additional office at 200 Pine Street, Suite 600, San Francisco, CA 94104, for Jaguar Animal Health. Our website for the corporation is </w:t>
      </w:r>
      <w:r>
        <w:rPr>
          <w:rFonts w:ascii="Times New Roman" w:hAnsi="Times New Roman"/>
          <w:sz w:val="20"/>
          <w:u w:val="single"/>
          <w:bdr w:val="single" w:sz="8" w:space="1" w:color="000000"/>
        </w:rPr>
        <w:t>https://jaguar.health.com</w:t>
      </w:r>
      <w:r>
        <w:rPr>
          <w:rFonts w:ascii="Times New Roman" w:hAnsi="Times New Roman"/>
          <w:sz w:val="20"/>
          <w:bdr w:val="single" w:sz="8" w:space="1" w:color="000000"/>
        </w:rPr>
        <w:t xml:space="preserve">. The information contained on, or that can be accessed through, our website is not part of this annual report. Our voting common stock is listed on the Nasdaq Capital Market and trades under the symbol “JAGX.”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Information contained in, or accessible through, our website does not constitute part of this prospectus or registration statement and inclusions of our website address in this prospectus or registration statement are inactive textual references only. You should not rely on any such information in making your decision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117884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the Selling Stockholders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5,522,551 shares of our common stock, consisting of (i) up to 4,395,605 shares of common stock (the “Redemption Shares”) that are issuable upon redemption of the shares of Series P Preferred Stock, which we sold and issued to the Selling Stockholders pursuant to the Preferred Stock Purchase Agreements, assuming at a redemption price equal to the Floor Price (as defined in the Certificate of Designation of Preferences, Rights and Limitations of Series P Non-Convertible Preferred Stock (the “Certificate of Designation”)), or upon exercise of the pre-funded warrants to purchase common stock which we may issue in lieu of the Redemption Shares in accordance with the terms of the Certificate of Designation, (ii) up to 72,000 shares of common stock (the “Commencement Shares”) that are issuable upon exercise of the pre-funded warrants to purchase common stock (the “Commencement Pre-Funded Warrants”), which have been issued to the Selling Stockholders as consideration for the Selling Stockholders’ execution and delivery of the Preferred Stock Purchase Agreement, and (iii) up to 1,054,946 shares of common stock (the “Dividend Shares”) that are issuable as dividends to the holders of the outstanding shares of Series P Preferred Stock at a rate of 8% per annum on the stated value of the Series P Preferred Stock over an assumed term of three years and assuming that (x) the Company elects to issue payment of dividends solely in shares of common stock during such period and (y) the number of shares of common stock issued is calculated using the Floor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prior to this 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4,910,402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following 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10,432,953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Terms of the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Each Selling Stockholder will determine when and how it will dispose of any shares of our common stock held by it that are registered under this prospectus for resale.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will not receive any of the proceeds from the sale of shares of our common stock offered by the Selling Stockholders. See “Use of Proceeds” on page 19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Stock Symbol</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JAGX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Transfer Agent and Registrar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Equiniti Trust Company, LLC </w:t>
            </w:r>
          </w:p>
        </w:tc>
      </w:tr>
    </w:tbl>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this offering. The summary is not intended to be complete. You should read the full text and more specific details contained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4,910,402 shares of our voting common stock and no shares of our non-voting common stock outstanding as of July 10, 2026, and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68,593 shares of common stock issuable upon exercise of warrants outstanding, with a weighted-average exercise price of $141.91;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7,484 shares of common stock issuable upon exercise of pre-funded warrants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5,293 shares of common stock issuable upon exercise of outstanding options under the 2014 Stock Incentive Plan, with a weighted-average exercise price of $205.44;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10,591 shares of common stock that remain available for grant under the 2014 Stock Incentive Plan and 469 shares of Common Stock that remain available under the 2020 Employee Inducement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4,573 shares of common stock issuable upon vesting of outstanding restricted stock unit awards (“RSUs”) under the 2014 Stock Incentive Plan.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assumes no exercise or settlement of outstanding options 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17884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purchasing the securities offered by this prospectus you should carefully read the risk factors incorporated by reference in this prospectus from our Annual Report on Form 10-K for the year ended December 31, 2025 filed with the SEC on April 7, 2026, our Quarterly Report on Form 10-Q for the period ending March 31, 2026 filed with the SEC on May 20, 2026, as well as the risks, uncertainties and additional information set forth in the other documents incorporated by reference in this prospectus that we file with the SEC after the date of this prospectus and which are deemed incorporated by reference in this prospectus, and the information contained in any applicable prospectus supplement. For a description of these reports and documents, and information about where you can find them, see “Incorporation of Certain Information by Reference.” The risks and uncertainties we discuss in this prospectus and in the documents incorporated by reference in this prospectus are those that we currently believe may materially affect our company. Additional risks not presently known, or currently deemed immaterial, also could materially and adversely affect our financial condition, results of operations, business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issuance of shares upon redemption of the Series P Preferred Stock, payment of the Dividends accrued on outstanding shares of Series P Preferred Stock, exercise of the Commencement Pre-Funded Warrants may cause immediate and substantial dilution to our existing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are registering 5,522,551 shares of our common stock (including the Commitment Shares) under this prospectus. As of July 10, 2026, there were 4,910,402 shares of common stock outstanding. If all of the 5,522,551 shares of our common stock offered for resale by the Selling Stockholders under this prospectus were issued and outstanding as of July 10, 2026, such shares would represent in excess of 52.93% of total number of shares of our common stock outstanding. Such issuance of shares will result in dilution to the interests of other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Substantial future sales or other issuances of our common stock could depress the market for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and any future sales of a substantial number of shares of common stock in the public market, including the issuance of shares or any shares issuable upon redemption of the shares of Series P Preferred Stock or exercise of the pre-funded warrants and the issuance of the Dividend Shares,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our Preferred Shares are entitled to certain payments under the Certificate of Designation that may be paid in cash, which may require the expenditure of a substantial portion of our cash resources.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Preferred Shares are entitled to dividends of 8% per annum, which are payable quarterly in arrears on the first trading day of each fiscal quarter (each, a “Dividend Date”), in shares of common stock so long as the Equity Condition is satisfied on the Dividend Date, or in cash, at the election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“Equity Condition”, as defined in the Certificate of Designation, means that so long as any shares of Series P Preferred Stock remain outstanding, the Company shall, among others, (i) with respect to an given date of determination, all shares of common stock to be issued in connection with the event requiring this determination, as applicable, shall be eligible for sale pursuant to an effective registration statement or in compliance with Rule 144 without the need for registration under any applicable federal or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Company shall be current in the filing of its periodic reports with the SEC; (ii) the common stock is listed or designated for quotation (as applicable) on a Trading Market (as defined in the Certificate of Designation) and shall not have been suspended from trading on a Trading Market nor shall delisting or suspension by a Trading Market have been threatened or reasonably likely to occur or pending; (iii) no holder of the Preferred Shares shall be in possession of any material, non-public information provided to any of them by the Company, any of its subsidiaries or any of their respective affiliates, employees, officers, representatives, agents or the like; (iv) on each date of determination,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and (v) there shall not have occurred and there shall not exist a Triggering Event (as defined in the Certificate of Designation) or an event that with the passage of time or giving of notice would constitute a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of a Mandatory Redemption or an Optional Redemption (both terms as defined in the Certificate of Designation), the Company has the discretion to redeem the Preferred Shares either in cash or in such number of shares of common stock equal to the quotient obtained by dividing (i) the Liquidation Amount by (ii) the greater of (x) the Minimum Price as of the applicable redemption notice date and (y) the Floor Price. </w:t>
      </w:r>
    </w:p>
    <w:p>
      <w:pPr>
        <w:pStyle w:val="TextBody"/>
        <w:bidi w:val="0"/>
        <w:spacing w:before="240" w:after="0"/>
        <w:jc w:val="left"/>
        <w:rPr>
          <w:rFonts w:ascii="Times New Roman" w:hAnsi="Times New Roman"/>
          <w:sz w:val="20"/>
        </w:rPr>
      </w:pPr>
      <w:r>
        <w:rPr>
          <w:rFonts w:ascii="Times New Roman" w:hAnsi="Times New Roman"/>
          <w:sz w:val="20"/>
        </w:rPr>
        <w:t xml:space="preserve">If we are required to or elect to make such payments in cash and do not have sufficient cash resources to make these payments, we may need to raise additional equity or debt capital, and we cannot provide any assurance that we will be successful in doing so. If we are unable to raise sufficient capital to meet our payment obligations, we may need to delay, reduce or eliminate certain research and development programs or other operations, sell some or all of our assets or merge with another entity. Our ability to make payments due to the holders of our Preferred Shares using cash is also limited by the amount of cash we have on hand at the time such payments are due as well as certain provisions of the Delaware General Corporation Law (the “DGCL”).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 the Preferred Stock Purchase Agreement, we are subject to certain restrictive covenants that may make it difficult to procure additional financing.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Purchase Agreement contains, among others, the following covenants: (A) until 180 days following the date on which this registration statement is declared effective, we may not issue, offer, sell, grant any option or right to purchase, or otherwise dispose of (or announce any issuance, offer, sale, grant of any option or right to purchase or other disposition of) any equity security or any equity-linked or related security, and (B) until 180 days following the Closing Date, the Company must provide the holders of the Preferred Shares the opportunity to participate in any subsequent securities offerings by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certain Exempted Issuance, so long as a Selling Stockholder beneficially owns any shares of Series P Preferred Stock, the Company will not, without the prior written consent of such Selling Stockholder, issue any Preferred Shares and the Company shall not issue any other securities that would cause a breach or default under the Certificate of Designation. The Company agrees that for the Restricted Period (as defined in the Preferred Stock Purchase Agreement), neither the Company nor any of its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(as defined in the Preferred Stock Purchase Agreement), any debt, any preferred stock or any purchase rights (any such issuance, offer, sale, grant, disposition or announcement (whether occurring during the Restricted Period or at any time thereafter) is referred to as a “Subsequent 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the earlier of 270 days after the closing under the Preferred Stock Purchase Agreement, or, no Preferred Shares remain outstanding, the Company and each subsidiary shall be prohibited 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effecting or entering into an agreement to effect any Subsequent Placement involving a Variable Rate Transaction (as defined in the Preferred Stock Purchase Agreement), unless such transaction is with a Selling Stockholder or its affiliate or an Exempted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long as any Preferred Shares remain outstanding, the Company irrevocably grants to the Selling Stockholders a right of first refusal with respect to the Company entering into any “equity line” transactions, such that prior to entering into an such transaction with a third-party, the Company must first notify the Selling Stockholders in writing of the bona fide other offer from the third-party, and provide to the Selling Stockholders the opportunity to enter into an agreement with the Company on materially similar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that any of the Preferred Shares remain outstanding, any Subsequent Placement (except for any Exempted Issuance) of the Company or any of its subsidiaries is subject to the Selling Stockholders’ participation rights as set forth in the Preferred Stock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any Preferred Shares remain outstanding, the Company shall not, in any manner, enter into or affect any issuance or sale of securities of the Company which are issued or sold or deemed to have been granted, issued or sold for a consideration per share of common stock (the “New Issuance Price”, and such issuance, a “Dilutive Issuance”) if the effect of such Dilutive Issuance is to cause the Company to be required to issue upon conversion of any Preferred Shares any shares of Common Stock in excess of that number of shares of Common Stock which the Company may issue upon conversion of the Preferred Shares without breaching the Company’s obligations under the rules or regulations of the Principal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long as any Preferred Shares remain outstanding, upon any issuance by the Company or any of its subsidiaries, except for an Exempt Issuance, of any security with any term more favorable to the holder of such security or with a term (including without limitation any conversion price) in favor of the holder of such security that was not similarly set forth in the Transaction Documents or the Certificate of Designation or provided to the holders of Preferred Shares (other than a future financing with C/M Capital Partners, LP, one of the Selling Stockholders), then the Company shall notify the Selling Stockholders of such additional or more favorable term and such term, at the Selling Stockholders’ option, shall become, and the Company shall take all action necessary such that the term becomes, a part of the Transaction Documents (including without limitation, the Certificate of Designation) with the Selling Stockholders, or the Selling Stockholders may exchange Preferred Shares in their entirety for such security. The types of terms contained in another security that may be more favorable to the holder of such security include, but are not limited to, terms addressing conversion discounts, prepayment rate, conversion lookback periods, interest rates, original issue discounts, stock sale price, private placement price per share, and warrant coverage.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require additional funding while these restrictive covenants remain in effect, we may be unable to effect a financing transaction on terms acceptable to us, or at all, while also remaining in compliance with the terms of the Preferred Stock Purchase Agreement, or we may be forced to seek a waiver from the Selling Stockholders, which they are not obligated to grant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17884_6"/>
      <w:bookmarkEnd w:id="8"/>
      <w:r>
        <w:rPr>
          <w:rFonts w:ascii="Times New Roman" w:hAnsi="Times New Roman"/>
          <w:b/>
          <w:sz w:val="20"/>
        </w:rPr>
        <w:t xml:space="preserve">THE PREFERRED STOCK FINANCING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we entered into securities purchase agreements (each a “Preferred Stock Purchase Agreement” and collectively, the “Preferred Stock Purchase Agreements”) with the Selling Stockholders, pursuant to which we agreed to issue and sell to the Selling Stockholders in a private placement an aggregate of 240 shares (the “Preferred Shares”) of Series P Preferred Stock of the Company for an aggregate purchase price of $2 million (the “Preferred Stock Financing”). The Preferred Stock Financing closed June 9, 2026. We intend to use the proceeds from the Preferred Stock Financing for general corporate purposes, subject to the restrictions set forth in the Preferred Stock Purchase Agreements.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Selling Stockholders’ execution and delivery of the Preferred Stock Purchase Agreements, we agreed to issue to the Selling Stockholders within one trading day after the filing date of the Preferred Registration Statement (as defined hereunder) pre-funded warrants (the “Commencement Pre-Funded Warrants”), exercisable to purchase up to an aggregate number of shares of common stock equal to $72,000 divided by the greater of (i) the average VWAP of the common stock over the five trading day period immediately preceding the filing of the initial Registration Statement, and (ii) 20% of the Nasdaq Minimum Price (as defined in Nasdaq Rule 5635(d)(1)(A)) of common stock on the execution date of the Preferred Stock Purchase Agreements. The shares of common stock issuable upon exercise of the Commencement Pre-Funded Warrants will be included in the Preferred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Purchase Agreements include representations, warranties, and covenants customary for a transaction of this type.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date of the first issuance of any shares of the Series P Preferred Stock (the “Original Issue Date”), each outstanding share of Series P Preferred Stock shall commence accruing dividends (“Dividends”) on the Stated Value of each share of Series P Preferred Stock (which is $10,000) at the rate of 8% per year. Dividends shall be payable in arrears on the first trading day of each fiscal quarter (each, a “Dividend Date”). Dividends shall be payable on each Dividend Date, to each record holder of shares of Series P Preferred Stock (each a “Holder” and collectively, the “Holders”) on the applicable Dividend Date, in shares of common stock (“Dividend Shares”) so long as the Equity Condition (as defined in the Certificate of Designation) is satisfied on the Dividend Date, or in cash, at the election of the Company. Dividends to be paid on a Dividend Date in Dividend Shares shall be paid in a number of fully paid and nonassessable shares (rounded to the nearest whole share) of common stock equal to the quotient obtained by dividing (i) the amount of Dividend payable on such Dividend Date less any cash dividend by (ii) the greater of (x) the Minimum Price (as defined in the Certificate of Designation) on the Dividend Date and (y) $0.546, subject to adjustment for reverse and forward stock splits, stock dividends, stock combinations and other similar transactions of the common stock (the “Floor Price”).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Certificate of Designation, no later than two trading days following receipt by the Company of the net proceeds from any put request made by the Company pursuant to that certain common stock purchase agreement dated June 9, 2026, entered into by and between the Company and one of the Selling Stockholders, establishing an equity line of credit of up to $40 million (the “ELOC Agreement”), the Company shall redeem shares of Series P Preferred Stock outstanding at such time, at a per share redemption price equal to the Liquidation Amount (as defined in the Certificate of Designation) and an aggregate redemption price equal to not less than 10% of such proceeds, to be paid, at the Company’s sole discretion, in cash or in such number of shares of common stock (the “Mandatory Redemption Shares”) equal to the quotient obtained by dividing (i) the Liquidation Amount by (ii) the greater of (x) the Minimum Price as of the date that the Mandatory Redemption Notice (as defined in the Certificate of Designation) is delivered by the Company to the Holders and (y) the Floor Price (the “Mandatory Redemption Ratio”). </w:t>
      </w:r>
    </w:p>
    <w:p>
      <w:pPr>
        <w:pStyle w:val="TextBody"/>
        <w:bidi w:val="0"/>
        <w:spacing w:before="240" w:after="0"/>
        <w:jc w:val="left"/>
        <w:rPr>
          <w:rFonts w:ascii="Times New Roman" w:hAnsi="Times New Roman"/>
          <w:sz w:val="20"/>
        </w:rPr>
      </w:pPr>
      <w:r>
        <w:rPr>
          <w:rFonts w:ascii="Times New Roman" w:hAnsi="Times New Roman"/>
          <w:sz w:val="20"/>
        </w:rPr>
        <w:t xml:space="preserve">The Company, at the option of its board of directors, or any duly authorized committee thereof, may, at any time after the Original Issue Date, redeem, in whole or in part, the shares of Series P Preferred Stock at the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at a redemption price equal to the Liquidation Amount per share, with the redemption price to be paid, at the Company’s sole discretion, in cash or in such number of shares of common stock (the “Optional Redemption Shares”) equal to the quotient obtained by dividing (i) the Liquidation Amount by (ii) the greater of (x) the Minimum Price as of the date that the Optional Redemption Notice (as defined in the Certificate of Designation) is delivered by the Company to the Holders and (y) the Floor Price (the “Optional Redemption Ratio”).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Preferred Stock Purchase Agreements, we entered into a registration rights agreement with the Selling Stockholders (the “Preferred Registration Rights Agreement”), pursuant to which we are required to file a registration statement on Form S-1 (the “Preferred Registration Statement”) within 30 days after the execution date of the Preferred Registration Rights Agreement, to register the resale of (i) all of the Redemption Shares that may, from time to time, be issued or become issuable to the Investors under the Preferred Stock Purchase Agreements and the related Transaction Documents (as defined therein) (without regard to any limitation or restriction on purchases), (ii) the shares of common stock issued or issuable upon exercise of the Pre-Funded Warrants (as defined in the Preferred Stock Purchase Agreements) (the “Warrant Shares”), and (iii) any and all shares of capital stock issued or issuable with respect to the Redemption Shares or Warrant Shares as a result of any stock split, stock dividend, recapitalization, exchange or similar event or otherwise, without regard to any limitation on purchases under the Preferred Stock Purchase Agreements or the Transaction Documents. We shall use our commercially reasonable efforts to have the Preferred Registration Statement declared effective by the SEC at the earliest practicable date. </w:t>
      </w:r>
    </w:p>
    <w:p>
      <w:pPr>
        <w:pStyle w:val="TextBody"/>
        <w:bidi w:val="0"/>
        <w:spacing w:before="240" w:after="0"/>
        <w:jc w:val="left"/>
        <w:rPr>
          <w:rFonts w:ascii="Times New Roman" w:hAnsi="Times New Roman"/>
          <w:sz w:val="20"/>
        </w:rPr>
      </w:pPr>
      <w:r>
        <w:rPr>
          <w:rFonts w:ascii="Times New Roman" w:hAnsi="Times New Roman"/>
          <w:sz w:val="20"/>
        </w:rPr>
        <w:t xml:space="preserve">We also agreed to other customary obligations regarding registration, including indemnification and maintenance of the effectiveness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Preferred Stock Purchase Agreements and the terms of the Certificate of Designation of Preferences, Rights and Limitations of Series P Non-Convertible Preferred Stock (the “Certificate of Designation”), until the stockholder approval (as defined in the Preferred Stock Purchase Agreements and the Certificate of Designation, respectively) (the “Stockholder Approval for the Preferred Stock Financing”) is obtained, we shall not issue any shares of common stock upon redemption and/or exchange of the Preferred Shares, to the extent that after giving effect thereto, the aggregate number of shares of common stock that would be issued pursuant to the Preferred Stock Purchase Agreements and the Transaction Documents would exceed 19.99% of the number of shares of common stock issued and outstanding immediately prior to the execution of the Preferred Stock Purchase Agreements. As previously reported, we reconvened our Annual Meeting on June 8, 2026 and obtained, among others, the Stockholder Approval for the Preferred Stock Financing. </w:t>
      </w:r>
    </w:p>
    <w:p>
      <w:pPr>
        <w:pStyle w:val="TextBody"/>
        <w:bidi w:val="0"/>
        <w:spacing w:before="240" w:after="0"/>
        <w:jc w:val="left"/>
        <w:rPr>
          <w:rFonts w:ascii="Times New Roman" w:hAnsi="Times New Roman"/>
          <w:sz w:val="20"/>
        </w:rPr>
      </w:pPr>
      <w:r>
        <w:rPr>
          <w:rFonts w:ascii="Times New Roman" w:hAnsi="Times New Roman"/>
          <w:sz w:val="20"/>
        </w:rPr>
        <w:t xml:space="preserve">There are substantial risks to our stockholders as a result of the sale and issuance of common stock to the Selling Stockholders under the Preferred Stock Purchase Agreement, including but not limited to the following: substantial dilution, significant declines in our stock price and our inability to draw sufficient funds when needed. See “Risk Factors.” The issuance of our shares of common stock to the Selling Stockholders pursuant to the Preferred Stock Purchase Agreements and the Certificate of Designation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amount of dilution, assuming full redemption of the Series P Preferred Stock in shares of our common stock, if we issue to the Selling Stockholders the Redemption Shares at various redemption prices: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024"/>
        <w:gridCol w:w="147"/>
        <w:gridCol w:w="229"/>
        <w:gridCol w:w="2102"/>
        <w:gridCol w:w="60"/>
        <w:gridCol w:w="147"/>
        <w:gridCol w:w="148"/>
        <w:gridCol w:w="2422"/>
        <w:gridCol w:w="60"/>
        <w:gridCol w:w="147"/>
        <w:gridCol w:w="174"/>
        <w:gridCol w:w="1633"/>
        <w:gridCol w:w="279"/>
      </w:tblGrid>
      <w:tr>
        <w:trPr/>
        <w:tc>
          <w:tcPr>
            <w:tcW w:w="1024"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024" w:type="dxa"/>
            <w:tcBorders/>
            <w:vAlign w:val="bottom"/>
          </w:tcPr>
          <w:p>
            <w:pPr>
              <w:pStyle w:val="TableContents"/>
              <w:bidi w:val="0"/>
              <w:spacing w:before="0" w:after="283"/>
              <w:jc w:val="center"/>
              <w:rPr>
                <w:b/>
              </w:rPr>
            </w:pPr>
            <w:r>
              <w:rPr>
                <w:b/>
              </w:rPr>
              <w:t xml:space="preserve">Assumed </w:t>
              <w:br/>
              <w:t>Purchase Price Per Share</w:t>
            </w:r>
          </w:p>
        </w:tc>
        <w:tc>
          <w:tcPr>
            <w:tcW w:w="147" w:type="dxa"/>
            <w:tcBorders/>
            <w:vAlign w:val="bottom"/>
          </w:tcPr>
          <w:p>
            <w:pPr>
              <w:pStyle w:val="TableContents"/>
              <w:bidi w:val="0"/>
              <w:spacing w:before="0" w:after="283"/>
              <w:jc w:val="left"/>
              <w:rPr/>
            </w:pPr>
            <w:r>
              <w:rPr/>
              <w:t>  </w:t>
            </w:r>
          </w:p>
        </w:tc>
        <w:tc>
          <w:tcPr>
            <w:tcW w:w="23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Liquidation</w:t>
              <w:br/>
              <w:t>Amount(1)</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Redemption Shares to be</w:t>
              <w:br/>
              <w:t>Issued if</w:t>
              <w:br/>
              <w:t>Full Redemption(2)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Outstanding</w:t>
              <w:br/>
              <w:t>Shares After</w:t>
              <w:br/>
              <w:t>Giving Effect to the</w:t>
              <w:br/>
              <w:t>Full Redemption(3)</w:t>
            </w:r>
          </w:p>
        </w:tc>
        <w:tc>
          <w:tcPr>
            <w:tcW w:w="279" w:type="dxa"/>
            <w:tcBorders/>
            <w:vAlign w:val="bottom"/>
          </w:tcPr>
          <w:p>
            <w:pPr>
              <w:pStyle w:val="TableContents"/>
              <w:bidi w:val="0"/>
              <w:spacing w:before="0" w:after="283"/>
              <w:jc w:val="left"/>
              <w:rPr/>
            </w:pPr>
            <w:r>
              <w:rPr/>
              <w:t> </w:t>
            </w:r>
          </w:p>
        </w:tc>
      </w:tr>
      <w:tr>
        <w:trPr/>
        <w:tc>
          <w:tcPr>
            <w:tcW w:w="1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$0.546(4)</w:t>
            </w:r>
          </w:p>
        </w:tc>
        <w:tc>
          <w:tcPr>
            <w:tcW w:w="14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2102" w:type="dxa"/>
            <w:tcBorders/>
            <w:shd w:fill="CCEEFF" w:val="clear"/>
            <w:vAlign w:val="bottom"/>
          </w:tcPr>
          <w:p>
            <w:pPr>
              <w:pStyle w:val="TableContents"/>
              <w:bidi w:val="0"/>
              <w:spacing w:before="0" w:after="283"/>
              <w:jc w:val="right"/>
              <w:rPr/>
            </w:pPr>
            <w:r>
              <w:rPr/>
              <w:t>2,400,000.00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422" w:type="dxa"/>
            <w:tcBorders/>
            <w:shd w:fill="CCEEFF" w:val="clear"/>
            <w:vAlign w:val="bottom"/>
          </w:tcPr>
          <w:p>
            <w:pPr>
              <w:pStyle w:val="TableContents"/>
              <w:bidi w:val="0"/>
              <w:spacing w:before="0" w:after="283"/>
              <w:jc w:val="right"/>
              <w:rPr/>
            </w:pPr>
            <w:r>
              <w:rPr/>
              <w:t>4,395,605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bidi w:val="0"/>
              <w:spacing w:before="0" w:after="283"/>
              <w:jc w:val="right"/>
              <w:rPr/>
            </w:pPr>
            <w:r>
              <w:rPr/>
              <w:t>47.23</w:t>
            </w:r>
          </w:p>
        </w:tc>
        <w:tc>
          <w:tcPr>
            <w:tcW w:w="279" w:type="dxa"/>
            <w:tcBorders/>
            <w:shd w:fill="CCEEFF" w:val="clear"/>
            <w:vAlign w:val="bottom"/>
          </w:tcPr>
          <w:p>
            <w:pPr>
              <w:pStyle w:val="TableContents"/>
              <w:bidi w:val="0"/>
              <w:spacing w:before="0" w:after="283"/>
              <w:jc w:val="left"/>
              <w:rPr/>
            </w:pPr>
            <w:r>
              <w:rPr/>
              <w:t>% </w:t>
            </w:r>
          </w:p>
        </w:tc>
      </w:tr>
      <w:tr>
        <w:trPr/>
        <w:tc>
          <w:tcPr>
            <w:tcW w:w="1024" w:type="dxa"/>
            <w:tcBorders/>
          </w:tcPr>
          <w:p>
            <w:pPr>
              <w:pStyle w:val="TableContents"/>
              <w:bidi w:val="0"/>
              <w:spacing w:before="0" w:after="0"/>
              <w:jc w:val="left"/>
              <w:rPr>
                <w:rFonts w:ascii="Times New Roman" w:hAnsi="Times New Roman"/>
                <w:sz w:val="20"/>
              </w:rPr>
            </w:pPr>
            <w:r>
              <w:rPr>
                <w:rFonts w:ascii="Times New Roman" w:hAnsi="Times New Roman"/>
                <w:sz w:val="20"/>
              </w:rPr>
              <w:t>$1.00</w:t>
            </w:r>
          </w:p>
        </w:tc>
        <w:tc>
          <w:tcPr>
            <w:tcW w:w="14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2102" w:type="dxa"/>
            <w:tcBorders/>
            <w:vAlign w:val="bottom"/>
          </w:tcPr>
          <w:p>
            <w:pPr>
              <w:pStyle w:val="TableContents"/>
              <w:bidi w:val="0"/>
              <w:spacing w:before="0" w:after="283"/>
              <w:jc w:val="right"/>
              <w:rPr/>
            </w:pPr>
            <w:r>
              <w:rPr/>
              <w:t>2,400,000.00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422" w:type="dxa"/>
            <w:tcBorders/>
            <w:vAlign w:val="bottom"/>
          </w:tcPr>
          <w:p>
            <w:pPr>
              <w:pStyle w:val="TableContents"/>
              <w:bidi w:val="0"/>
              <w:spacing w:before="0" w:after="283"/>
              <w:jc w:val="right"/>
              <w:rPr/>
            </w:pPr>
            <w:r>
              <w:rPr/>
              <w:t>2,400,000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32.83</w:t>
            </w:r>
          </w:p>
        </w:tc>
        <w:tc>
          <w:tcPr>
            <w:tcW w:w="279" w:type="dxa"/>
            <w:tcBorders/>
            <w:vAlign w:val="bottom"/>
          </w:tcPr>
          <w:p>
            <w:pPr>
              <w:pStyle w:val="TableContents"/>
              <w:bidi w:val="0"/>
              <w:spacing w:before="0" w:after="283"/>
              <w:jc w:val="left"/>
              <w:rPr/>
            </w:pPr>
            <w:r>
              <w:rPr/>
              <w:t>% </w:t>
            </w:r>
          </w:p>
        </w:tc>
      </w:tr>
      <w:tr>
        <w:trPr/>
        <w:tc>
          <w:tcPr>
            <w:tcW w:w="1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$1.50</w:t>
            </w:r>
          </w:p>
        </w:tc>
        <w:tc>
          <w:tcPr>
            <w:tcW w:w="14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2102" w:type="dxa"/>
            <w:tcBorders/>
            <w:shd w:fill="CCEEFF" w:val="clear"/>
            <w:vAlign w:val="bottom"/>
          </w:tcPr>
          <w:p>
            <w:pPr>
              <w:pStyle w:val="TableContents"/>
              <w:bidi w:val="0"/>
              <w:spacing w:before="0" w:after="283"/>
              <w:jc w:val="right"/>
              <w:rPr/>
            </w:pPr>
            <w:r>
              <w:rPr/>
              <w:t>2,400,000.00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422" w:type="dxa"/>
            <w:tcBorders/>
            <w:shd w:fill="CCEEFF" w:val="clear"/>
            <w:vAlign w:val="bottom"/>
          </w:tcPr>
          <w:p>
            <w:pPr>
              <w:pStyle w:val="TableContents"/>
              <w:bidi w:val="0"/>
              <w:spacing w:before="0" w:after="283"/>
              <w:jc w:val="right"/>
              <w:rPr/>
            </w:pPr>
            <w:r>
              <w:rPr/>
              <w:t>1,600,000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bidi w:val="0"/>
              <w:spacing w:before="0" w:after="283"/>
              <w:jc w:val="right"/>
              <w:rPr/>
            </w:pPr>
            <w:r>
              <w:rPr/>
              <w:t>24.58</w:t>
            </w:r>
          </w:p>
        </w:tc>
        <w:tc>
          <w:tcPr>
            <w:tcW w:w="279" w:type="dxa"/>
            <w:tcBorders/>
            <w:shd w:fill="CCEEFF" w:val="clear"/>
            <w:vAlign w:val="bottom"/>
          </w:tcPr>
          <w:p>
            <w:pPr>
              <w:pStyle w:val="TableContents"/>
              <w:bidi w:val="0"/>
              <w:spacing w:before="0" w:after="283"/>
              <w:jc w:val="left"/>
              <w:rPr/>
            </w:pPr>
            <w:r>
              <w:rPr/>
              <w:t>% </w:t>
            </w:r>
          </w:p>
        </w:tc>
      </w:tr>
      <w:tr>
        <w:trPr/>
        <w:tc>
          <w:tcPr>
            <w:tcW w:w="1024" w:type="dxa"/>
            <w:tcBorders/>
          </w:tcPr>
          <w:p>
            <w:pPr>
              <w:pStyle w:val="TableContents"/>
              <w:bidi w:val="0"/>
              <w:spacing w:before="0" w:after="0"/>
              <w:jc w:val="left"/>
              <w:rPr>
                <w:rFonts w:ascii="Times New Roman" w:hAnsi="Times New Roman"/>
                <w:sz w:val="20"/>
              </w:rPr>
            </w:pPr>
            <w:r>
              <w:rPr>
                <w:rFonts w:ascii="Times New Roman" w:hAnsi="Times New Roman"/>
                <w:sz w:val="20"/>
              </w:rPr>
              <w:t>$2.00</w:t>
            </w:r>
          </w:p>
        </w:tc>
        <w:tc>
          <w:tcPr>
            <w:tcW w:w="14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2102" w:type="dxa"/>
            <w:tcBorders/>
            <w:vAlign w:val="bottom"/>
          </w:tcPr>
          <w:p>
            <w:pPr>
              <w:pStyle w:val="TableContents"/>
              <w:bidi w:val="0"/>
              <w:spacing w:before="0" w:after="283"/>
              <w:jc w:val="right"/>
              <w:rPr/>
            </w:pPr>
            <w:r>
              <w:rPr/>
              <w:t>2,400,000.00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422" w:type="dxa"/>
            <w:tcBorders/>
            <w:vAlign w:val="bottom"/>
          </w:tcPr>
          <w:p>
            <w:pPr>
              <w:pStyle w:val="TableContents"/>
              <w:bidi w:val="0"/>
              <w:spacing w:before="0" w:after="283"/>
              <w:jc w:val="right"/>
              <w:rPr/>
            </w:pPr>
            <w:r>
              <w:rPr/>
              <w:t>1,200,000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19.64</w:t>
            </w:r>
          </w:p>
        </w:tc>
        <w:tc>
          <w:tcPr>
            <w:tcW w:w="27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Dividend accrued.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the Commencement Shares issuable to the Selling Stockholders for which no proceeds would be received by 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denominator is based on 4,910,402 shares outstanding as of July 10, 2026 adjusted to include the issuance of the number of Redemption Shares set forth in the adjacent column that we would have issued to the Selling Stockholders, assuming full redemption of all shares of Series P Preferred Stock issued.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Equal to the Floor Price as set forth in the Certificate of Designation.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17884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shares of our common stock that may be offered and sold from time to time by Selling Stockholders. We will not receive any proceeds from the resale of shares of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17884_8"/>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The Company’s dividend policy is determined by its board of directors and will depend upon a number of factors, including the Company’s financial condition and performance, its cash needs and expansion plans, income tax consequences, and the restrictions that applicable laws and any credit or other contractual arrangements may then impose. The Company has not paid any cash dividends on its common stock to date and at the current time the Company does not anticipate paying a cash dividend on its common stock in the foreseeable future. Rather, the Company anticipates that it will retain earnings, if any, for use in the development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17884_9"/>
      <w:bookmarkEnd w:id="11"/>
      <w:r>
        <w:rPr>
          <w:rFonts w:ascii="Times New Roman" w:hAnsi="Times New Roman"/>
          <w:b/>
          <w:sz w:val="20"/>
        </w:rPr>
        <w:t xml:space="preserve">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from time to time by the Selling Stockholders of any or all shares of our common stock that have been or may be issued by us to the Selling Stockholders under the Preferred Stock Purchase Agreement. Such shares of our common stock include (i) up to 4,395,605 shares of common stock (the “Redemption Shares”) that are issuable upon redemption of the shares of Series P Preferred Stock, which we sold and issued to the Selling Stockholders pursuant to the Preferred Stock Purchase Agreements, assuming at a redemption price equal to the Floor Price (as defined in the Certificate of Designation of Preferences, Rights and Limitations of Series P Non-Convertible Preferred Stock (the “Certificate of Designation”)), or upon exercise of the pre-funded warrants to purchase common stock which we may issue in lieu of the Redemption Shares in accordance with the terms of the Certificate of Designation, (ii) up to 72,000 shares of common stock (the “Commencement Shares”) that are issuable upon exercise of the pre-funded warrants to purchase common stock (the “Commencement Pre-Funded Warrants”), which have been issued by us to the Selling Stockholders as consideration for the Selling Stockholders’ execution and delivery of the Preferred Stock Purchase Agreement, and (iii) up to 1,054,946 shares of common stock (the “Dividend Shares”) that are issuable as dividends to the holders of the outstanding shares of Series P Preferred Stock at a rate of 8% per annum on the stated value of the Series P Preferred Stock over an assumed term of three years and assuming that (x) the Company elects to issue payment of dividends solely in shares of common stock during such period and (y) the number of shares of common stock issued is calculated using the Floor Price.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“Selling Stockholders” includes the Selling Stockholders listed in the table below, and their permitted pledgees, donees, transferees, assignees, successors, designees, successors-in-interest and others who later come to hold any of the Selling Stockholders’ interests in the shares of common stock in accordance with the terms of the applicable agreements governing their respective registration rights, other than through a public sale. This prospectus also covers any additional securities that may become issuable by reason of stock splits, stock dividends or other similar transactions. </w:t>
      </w:r>
    </w:p>
    <w:p>
      <w:pPr>
        <w:pStyle w:val="TextBody"/>
        <w:bidi w:val="0"/>
        <w:spacing w:before="240" w:after="0"/>
        <w:jc w:val="left"/>
        <w:rPr>
          <w:rFonts w:ascii="Times New Roman" w:hAnsi="Times New Roman"/>
          <w:sz w:val="20"/>
        </w:rPr>
      </w:pPr>
      <w:r>
        <w:rPr>
          <w:rFonts w:ascii="Times New Roman" w:hAnsi="Times New Roman"/>
          <w:sz w:val="20"/>
        </w:rPr>
        <w:t>For additional information regarding the issuance of common stock covered by this prospectus, see the section entitled “</w:t>
      </w:r>
      <w:r>
        <w:rPr>
          <w:rFonts w:ascii="Times New Roman" w:hAnsi="Times New Roman"/>
          <w:i/>
          <w:sz w:val="20"/>
          <w:u w:val="single"/>
        </w:rPr>
        <w:t>The Preferred Stock Financing</w:t>
      </w:r>
      <w:r>
        <w:rPr>
          <w:rFonts w:ascii="Times New Roman" w:hAnsi="Times New Roman"/>
          <w:sz w:val="20"/>
        </w:rPr>
        <w:t xml:space="preserve">” above. We are registering the shares of common stock pursuant to the provisions of the Preferred Stock Purchase Agreements and the Registration Rights Agreement in order to permit the Selling Stockholders to offer the shares for resale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also entered into a common stock purchase agreement with C/M Capital Master Fund, LP (“C/M Capital”), one of the Selling Stockholders, which establishes an equity line of credit and provides that, upon the terms and subject to the conditions set forth therein, C/M Capital is committed to purchase up to an aggregate of $40 million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transactions contemplated by the Preferred Stock Purchase Agreement and the Registration Rights Agreement and the transactions as disclosed above, no Selling Stockholder has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information regarding the Selling Stockholders and the shares of common stock that they may offer from time to time under this prospectus. This table is prepared based on information supplied to us by the Selling Stockholders, and reflects holdings as of July 10, 2026. The number of shares in the column “Maximum Number of Shares of Common Stock to be Offered Pursuant to this Prospectus” represents all of the shares of common stock that the Selling Stockholders may offer under this prospectus. The Selling Stockholders may sell some, all or none of their shares in this offering. We do not know how long the Selling Stockholders will hold the shares before selling them, and we currently have no agreements, arrangements or understandings with the Selling Stockholders regarding the sale of 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Rule 13d-3(d) promulgated by the SEC under the Exchange Act, and includes shares of common stock with respect to which the Selling Stockholders have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investment power. The percentage of common stock beneficially owned by the Selling Stockholders prior to the offering shown in the table below is based on an aggregate of 4,910,402 shares of our common stock outstanding on July 10, 2026. Because the redemption price per share of the common stock issuable upon redemption of shares of Series P Preferred Stock pursuant to the Certificate of Designation will be the greater of the Minimum Price as of the delivery date of the applicable redemption notice and the Floor Price, and the price per share of the Dividend Shares issuable upon the Company’s payment of Dividends will be the greater of the Minimum Price on the Dividend Date and the Floor Price, the number of shares that may actually be issued by us to the Selling Stockholders under the Preferred Stock Purchase Agreements and the Certificate of Designation may be fewer than the number of shares being offered by this prospectus. The fourth column assumes the sale of all of the shares offered by the Selling Stockholders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amend or supplement this prospectus from time to time in the future to update or change the Selling Stockholder list and the securities that may be resold. </w:t>
      </w:r>
    </w:p>
    <w:p>
      <w:pPr>
        <w:pStyle w:val="TextBody"/>
        <w:bidi w:val="0"/>
        <w:spacing w:before="240" w:after="0"/>
        <w:jc w:val="left"/>
        <w:rPr>
          <w:rFonts w:ascii="Times New Roman" w:hAnsi="Times New Roman"/>
          <w:sz w:val="20"/>
        </w:rPr>
      </w:pPr>
      <w:r>
        <w:rPr>
          <w:rFonts w:ascii="Times New Roman" w:hAnsi="Times New Roman"/>
          <w:sz w:val="20"/>
        </w:rPr>
        <w:t>Please see the section titled “</w:t>
      </w:r>
      <w:r>
        <w:rPr>
          <w:rFonts w:ascii="Times New Roman" w:hAnsi="Times New Roman"/>
          <w:i/>
          <w:sz w:val="20"/>
          <w:u w:val="single"/>
        </w:rPr>
        <w:t>Plan of Distribution</w:t>
      </w:r>
      <w:r>
        <w:rPr>
          <w:rFonts w:ascii="Times New Roman" w:hAnsi="Times New Roman"/>
          <w:sz w:val="20"/>
        </w:rPr>
        <w:t xml:space="preserve">” for further information regarding the Selling Stockholders’ method of distributing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column “Number of Shares of Common Stock Owned After Offering” assumes the sale of all of the shares offered by the Selling Stockholders pursuant to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21"/>
        <w:gridCol w:w="250"/>
        <w:gridCol w:w="239"/>
        <w:gridCol w:w="562"/>
        <w:gridCol w:w="99"/>
        <w:gridCol w:w="327"/>
        <w:gridCol w:w="213"/>
        <w:gridCol w:w="512"/>
        <w:gridCol w:w="60"/>
        <w:gridCol w:w="250"/>
        <w:gridCol w:w="186"/>
        <w:gridCol w:w="3058"/>
        <w:gridCol w:w="60"/>
        <w:gridCol w:w="250"/>
        <w:gridCol w:w="239"/>
        <w:gridCol w:w="562"/>
        <w:gridCol w:w="99"/>
        <w:gridCol w:w="327"/>
        <w:gridCol w:w="213"/>
        <w:gridCol w:w="512"/>
        <w:gridCol w:w="66"/>
      </w:tblGrid>
      <w:tr>
        <w:trPr/>
        <w:tc>
          <w:tcPr>
            <w:tcW w:w="2121"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121"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of Selling</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Stockholder</w:t>
            </w:r>
          </w:p>
        </w:tc>
        <w:tc>
          <w:tcPr>
            <w:tcW w:w="250" w:type="dxa"/>
            <w:tcBorders/>
            <w:vAlign w:val="bottom"/>
          </w:tcPr>
          <w:p>
            <w:pPr>
              <w:pStyle w:val="TableContents"/>
              <w:bidi w:val="0"/>
              <w:spacing w:before="0" w:after="283"/>
              <w:jc w:val="left"/>
              <w:rPr/>
            </w:pPr>
            <w:r>
              <w:rPr/>
              <w:t>  </w:t>
            </w:r>
          </w:p>
        </w:tc>
        <w:tc>
          <w:tcPr>
            <w:tcW w:w="1952" w:type="dxa"/>
            <w:gridSpan w:val="6"/>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of</w:t>
              <w:br/>
              <w:t>Common Stock</w:t>
              <w:br/>
              <w:t>Owned</w:t>
              <w:br/>
              <w:t>Prior to Offering</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 Number of Shares of</w:t>
              <w:br/>
              <w:t>Common Stock to be Offered</w:t>
              <w:br/>
              <w:t>Pursuant to this Prospectus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9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of Common</w:t>
              <w:br/>
              <w:t>Stock Owned</w:t>
              <w:br/>
              <w:t>After Offering</w:t>
            </w:r>
          </w:p>
        </w:tc>
        <w:tc>
          <w:tcPr>
            <w:tcW w:w="66" w:type="dxa"/>
            <w:tcBorders/>
            <w:vAlign w:val="bottom"/>
          </w:tcPr>
          <w:p>
            <w:pPr>
              <w:pStyle w:val="TableContents"/>
              <w:bidi w:val="0"/>
              <w:spacing w:before="0" w:after="283"/>
              <w:jc w:val="left"/>
              <w:rPr/>
            </w:pPr>
            <w:r>
              <w:rPr/>
              <w:t> </w:t>
            </w:r>
          </w:p>
        </w:tc>
      </w:tr>
      <w:tr>
        <w:trPr/>
        <w:tc>
          <w:tcPr>
            <w:tcW w:w="2121"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801" w:type="dxa"/>
            <w:gridSpan w:val="2"/>
            <w:tcBorders/>
            <w:vAlign w:val="bottom"/>
          </w:tcPr>
          <w:p>
            <w:pPr>
              <w:pStyle w:val="TableContents"/>
              <w:bidi w:val="0"/>
              <w:spacing w:before="0" w:after="283"/>
              <w:jc w:val="center"/>
              <w:rPr/>
            </w:pPr>
            <w:r>
              <w:rPr/>
              <w:t>Number</w:t>
            </w:r>
          </w:p>
        </w:tc>
        <w:tc>
          <w:tcPr>
            <w:tcW w:w="99"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center"/>
              <w:rPr/>
            </w:pPr>
            <w:r>
              <w:rPr/>
              <w:t>Percent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2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801" w:type="dxa"/>
            <w:gridSpan w:val="2"/>
            <w:tcBorders/>
            <w:vAlign w:val="bottom"/>
          </w:tcPr>
          <w:p>
            <w:pPr>
              <w:pStyle w:val="TableContents"/>
              <w:bidi w:val="0"/>
              <w:spacing w:before="0" w:after="283"/>
              <w:jc w:val="center"/>
              <w:rPr/>
            </w:pPr>
            <w:r>
              <w:rPr/>
              <w:t>Number</w:t>
            </w:r>
          </w:p>
        </w:tc>
        <w:tc>
          <w:tcPr>
            <w:tcW w:w="99"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center"/>
              <w:rPr/>
            </w:pPr>
            <w:r>
              <w:rPr/>
              <w:t>Percent</w:t>
            </w:r>
          </w:p>
        </w:tc>
        <w:tc>
          <w:tcPr>
            <w:tcW w:w="66" w:type="dxa"/>
            <w:tcBorders/>
            <w:vAlign w:val="bottom"/>
          </w:tcPr>
          <w:p>
            <w:pPr>
              <w:pStyle w:val="TableContents"/>
              <w:bidi w:val="0"/>
              <w:spacing w:before="0" w:after="283"/>
              <w:jc w:val="left"/>
              <w:rPr/>
            </w:pPr>
            <w:r>
              <w:rPr/>
              <w:t> </w:t>
            </w:r>
          </w:p>
        </w:tc>
      </w:tr>
      <w:tr>
        <w:trPr/>
        <w:tc>
          <w:tcPr>
            <w:tcW w:w="2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C/M Capital Master Fund, LP (1)</w:t>
            </w:r>
          </w:p>
        </w:tc>
        <w:tc>
          <w:tcPr>
            <w:tcW w:w="25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0</w:t>
            </w:r>
          </w:p>
        </w:tc>
        <w:tc>
          <w:tcPr>
            <w:tcW w:w="99"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58" w:type="dxa"/>
            <w:tcBorders/>
            <w:shd w:fill="CCEEFF" w:val="clear"/>
            <w:vAlign w:val="bottom"/>
          </w:tcPr>
          <w:p>
            <w:pPr>
              <w:pStyle w:val="TableContents"/>
              <w:bidi w:val="0"/>
              <w:spacing w:before="0" w:after="283"/>
              <w:jc w:val="right"/>
              <w:rPr/>
            </w:pPr>
            <w:r>
              <w:rPr/>
              <w:t>4,141,913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0</w:t>
            </w:r>
          </w:p>
        </w:tc>
        <w:tc>
          <w:tcPr>
            <w:tcW w:w="99"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WVP Emerging Manager Onshore Fund, LLC (2)</w:t>
            </w:r>
          </w:p>
        </w:tc>
        <w:tc>
          <w:tcPr>
            <w:tcW w:w="25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0</w:t>
            </w:r>
          </w:p>
        </w:tc>
        <w:tc>
          <w:tcPr>
            <w:tcW w:w="99"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58" w:type="dxa"/>
            <w:tcBorders/>
            <w:vAlign w:val="bottom"/>
          </w:tcPr>
          <w:p>
            <w:pPr>
              <w:pStyle w:val="TableContents"/>
              <w:bidi w:val="0"/>
              <w:spacing w:before="0" w:after="283"/>
              <w:jc w:val="right"/>
              <w:rPr/>
            </w:pPr>
            <w:r>
              <w:rPr/>
              <w:t>1,380,638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0</w:t>
            </w:r>
          </w:p>
        </w:tc>
        <w:tc>
          <w:tcPr>
            <w:tcW w:w="99"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C/M Capital Master Fund, LP (“C/M Capital”) is 1111 Brickell Avenue, Suite 2920, Miami, Florida 33131. As of the date of the Preferred Stock Purchase Agreements, C/M Capital did not beneficially own any shares of our common stock. Thomas Walsh and Jonathan Juchno are the Managing Partners of C/M Capital, and therefore may be deemed to have shared voting and investment power over securities owned directly and indirectly by C/M Capital. The amount of shares beneficially owned by the C/M Capital consists of shares of common stock issuable upon (i) redemption of the 180 shares of Series P Preferred Stock which we sold and issued to C/M Capital, assuming at a redemption price equal to the Floor Price (as defined in the Certificate of Designation), or upon exercise of the pre-funded warrants to purchase common stock which we may issue in lieu of the Redemption Shares in accordance with the terms of the Certificate of Designation, (ii) up to 54,000 Commencement Shares that are issuable upon exercise of the Commencement Pre-Funded Warrants which have been issued by us to C/M Capital, and (iii) up to 791,209 Dividend Shares that are issuable to C/M Capital as the Dividends accrued on the outstanding shares of Series P Preferred Stock for a period of up to 36 months following the first issuance of shares of the Series P Preferred Stock to C/M Capital. C/M Capital is not a registered broker-dealer or an affiliate of a registered broker-dealer. The foregoing should not be construed in and of itself as an admission by Mr. Walsh and Mr. Juchno as to beneficial ownership of the securities beneficially owned directly or indirectly by C/M Capital.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WVP Emerging Manager Onshore Fund, LLC (“WVP Emerging Fund”) is Two Executive Drive, Suite 515 Fort Lee, New Jersey 07024. Thomas Walsh and Jonathan Juchno are the managing members of WVP Emerging Fund and have shared voting and investment power over securities owned directly and indirectly by WVP Emerging Fund. The amount of shares beneficially owned by WVP Emerging Fund consists of shares of common stock issuable upon (i) redemption of the 60 shares of Series P Preferred Stock which we sold and issued to WVP Emerging Fund, assuming at a redemption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equal to the Floor Price (as defined in the Certificate of Designation), or upon exercise of the pre-funded warrants to purchase common stock which we may issue in lieu of the Redemption Shares in accordance with the terms of the Certificate of Designation, (ii) up to 18,000 Commencement Shares that are issuable upon exercise of the Commencement Pre-Funded Warrants which have been issued by us to WVP Emerging Fund, and (iii) up to 263,737 Dividend Shares that are issuable to WVP Emerging Fund as the Dividends accrued on the outstanding shares of Series P Preferred Stock for a period of up to 36 months following the first issuance of shares of the Series P Preferred Stock to WVP Emerging Fund. We have been advised that none of Mr. Walsh or Mr. Juchno or WVP Emerging Fund is a member of the Financial Industry Regulatory Authority, or FINRA, or an independent broker-dealer, or an affiliate or associated person of a FINRA member or independent broker dealer. The foregoing should not be construed in and of itself as an admission by Mr. Walsh and Mr. Juchno as to beneficial ownership of the securities beneficially owned directly or indirectly by WVP Emerging 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17884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offered by this prospectus are being offered by the Selling Stockholders. The shares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common stock offered by this prospectus could be effected in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involving cross or block trades;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dealers, or underwriters who may act solely as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at the market” into an existing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other ways not involving market makers or established business markets, including direct sales to purchasers or sales effected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may be deemed to be an “underwriter” within the meaning of Section 2(a)(11)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have informed us that they intend to use one or more registered broker-dealers to effectuate all sales, if any, of our common stock that they have acquired and may in the future acquire from us pursuant to the Preferred Stock Purchase Agreements and the Certificate of Designation. Such sales will be made at prices and at terms then prevailing or at prices related to the then current market price. Each such registered broker-dealer will be an underwriter within the meaning of Section 2(a)(11) of the Securities Act. The Selling Stockholders have informed us that each such broker-dealer will receive commissions from the Selling Stockholders that will not exceed customary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Brokers, dealers, underwriters or agents participating in the distribution of our common stock offered by this prospectus may receive compensation in the form of commissions, discounts, or concessions from the purchasers, for whom the broker-dealers may act as agent, of the shares sold by the Selling Stockholders through this prospectus. The compensation paid to any such particular broker-dealer by any such purchasers of our common stock sold by the Selling Stockholders may be less than or in excess of customary commissions. Neither we nor the Selling Stockholders can presently estimate the amount of compensation that any agent will receive from any purchasers of our common stock sold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know of no existing arrangements between any Selling Stockholder and any other stockholder, broker, dealer, underwriter or agent relating to the sale or distribution of our common stock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Stockholders, including the names of any brokers, dealers, underwriters or agents participating in the distribution of such shares by the Selling Stockholders, any compensation paid by the Selling Stockholders to any such brokers, dealers, underwriters or agents, and any other required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will pay the expenses incident to the registration under the Securities Act of the offer and sale of our common stock covered by this prospectus by the Selling Stockholders. In consideration for the Selling Stockholders’ execution and delivery of the Preferred Stock Purchase Agreements, we have agreed to issue to the Selling Stockholders within one trading day after the filing date of the Preferred Registration Statement the Commencement Pre-Funded Warrant exercisable to purchase up to an aggregate number of shares of common stock equal to $72,000 divided by the greater of (i) the average VWAP of the common stock over the five trading day period immediately preceding the filing of the initial Registration Statement, and (ii) 20% of the Nasdaq Minimum Price (as defined in Nasdaq Rule 5635(d)(1)(A)) of our common stock on the execution date of the Preferred Stock Purchase Agreements. We have also agreed to pay to the Selling Stockholders an aggregate of $20,000 in cash as reimbursement for the reasonable, out-of-pocket expenses incurred by the Selling Stockholders, including the legal fees and disbursements of the Selling Stockholders’ legal counsel, in connection with its due diligence investigation of the Company and in connection with the preparation, negotiation and execution of the Preferred Stock Purchase Agreement. See “</w:t>
      </w:r>
      <w:r>
        <w:rPr>
          <w:rFonts w:ascii="Times New Roman" w:hAnsi="Times New Roman"/>
          <w:i/>
          <w:sz w:val="20"/>
          <w:u w:val="single"/>
        </w:rPr>
        <w:t>The Preferred Stock Financing</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also have agreed to indemnify the Selling Stockholders and certain other persons against certain liabilities in connection with the offering of our common stock offered hereby, including liabilities arising under the Securities Act or, if such indemnity is unavailable, to contribute amounts required to be paid in respect of such liabilities. The Selling Stockholders have agreed to indemnify us against liabilities under the Securities Act that may arise from certain written information furnished to us by the Selling Stockholders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have represented to us that at no time prior to the date of the Preferred Stock Purchase Agreement have the Selling Stockholders or their respective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each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will terminate on the date that all of our common stock offered by this prospectus have been sold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17884_11"/>
      <w:bookmarkEnd w:id="13"/>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the most important terms of our capital stock. Because it is only a summary of the provisions of our Third Amended and Restated Certificate of Incorporation, as amended (the “Certificate of Incorporation”), and amended and restated bylaws, it does not contain all of the information that may be important to you. For a complete description of the matters set forth in this “Description of Capital Stock,” you should refer to our Certificate of Incorporation and our amended and restated bylaws and to the applicable provisions of Delaware law. Our authorized capital stock consists of 554,475,074 shares of capital stock, which consists of (i) 500,000,000 shares of voting common stock, $0.0001 par value per share, (ii) 50,000,000 shares of convertible non-voting common stock, $0.0001 par value per share, and (iii) 4,475,074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two classes of common stock: voting common stock and non-voting common stock. Holders of both classes of our common stock are entitled to receive ratably any dividends declared by our board of directors out of funds legally available for that purpose, subject to any preferential dividend rights of any outstanding preferred stock or that we may designate or issue in the future. In the event of our liquidation, dissolution or winding up, the holders of both classes of our common stock are entitled to share ratably in all assets remaining after the payment of liabilities, subject to the prior distribution rights of preferred stock then outstanding. There are no preemptive, conversion or subscription rights applicable to either class of common stock. There are no redemption or sinking fund provisions applicable to either class of common stock. The rights, preferences, and privileges of the holders of both classes of common stock are subject to and may be adversely affected by, the rights of the holders of shares of any series of preferred stock that we may designate in the future. All of our outstanding shares of voting common stock and non-voting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voting common stock are entitled to one vote for each share held on all matters submitted to a vote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non-voting common stock do not have any cumulative voting rights and are not entitled to vote, except on an as-converted basis with respect to any Change of Control (as defined in the Certificate of Incorporation). Each share of non-voting common stock is convertible into twelve billion four hundred three million one hundred twenty-five thousandth (1/12,403,125,000th) of a share of voting common stock at the election of the holder thereof. As of the date of this prospectus, there are no shares of non-voting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our board of directors is authorized to issue up to 4,475,074 shares of preferred stock from time to time, in one or more classes or series, without stockholder approval. As of the date of this prospectus, there are 240 shares of Series P Non-Convertible Preferred Stock, and 884.25 shares of Series Q Perpetual Preferred Stock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issuance of shares of each class or series, our board of directors is required by the Delaware General Corporation Law (“DGCL”) and our Certificate of Incorporation to adopt resolutions and file a certificate of designation with the Delaware Secretary of State. The certificate of designation fixes for each class or series the </w:t>
      </w:r>
    </w:p>
    <w:p>
      <w:pPr>
        <w:pStyle w:val="TextBody"/>
        <w:bidi w:val="0"/>
        <w:spacing w:before="120" w:after="0"/>
        <w:jc w:val="left"/>
        <w:rPr>
          <w:rFonts w:ascii="Times New Roman" w:hAnsi="Times New Roman"/>
          <w:sz w:val="20"/>
        </w:rPr>
      </w:pPr>
      <w:r>
        <w:rPr>
          <w:rFonts w:ascii="Times New Roman" w:hAnsi="Times New Roman"/>
          <w:sz w:val="20"/>
        </w:rPr>
        <w:t xml:space="preserve">designations, powers, preferences, rights, qualifications, limitations and restrictions of that class or series,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each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and terms of redemption, including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and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concerning the distribution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when issued and paid for, will be validly issued, fully paid and nonassessable and will not have any preemptive or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specify the following terms relating to any class or series of preferred stock offered by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the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Certificate of Incorporation and amended and restated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amended and restated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any action to be taken by our stockholders be effected at a duly called annual or special meeting and not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our board of directors, the chairman of our board of directors, the chief executive officer or the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our stockholders, including proposed nominations of persons for election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our board of directors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that our board of directors is divided into three classes, Class I, Class II and Class III, with each class serving staggered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approval of the stockholders of at least 75% of the shares and a majority of the board of directors to amend certain of the above-mentioned provisions.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provisions of our Certificate of Incorporation and amended and restated bylaws, unless we consent in writing to the selection of an alternative forum,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the Delaware General Corporation Law or our Certificate of Incorporation or amended and restated bylaws; (iv) any action to interpret, apply, enforce or determine the validity of our Certificate of Incorporation or amended and restated bylaws; or (v) any action asserting a claim against us governed by the internal affairs doctrine; provided that, if and only if the Court of Chancery of the State of Delaware does not have subject matter jurisdiction, then any such action may be brought in another state or federal court sitting in the State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or amended and restated bylaws to be inapplicable or unenforceable in such action. Our amended and restated bylaws provide that if any part of the exclusive forum provision is held to be invalid, illegal or unenforceable, as applied to any person or entity or circumstance for any reason whatsoever, then, to the fullest extent permitted by law, the validity, legality and enforceability of such part in any other circumstance and of the remaining parts of the exclusive forum provision and the application of such provision to other persons or entities and circumstances will not in any way be affected or impaired thereby.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the payment of a premium over the market price for the shares of common stock held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and our Certificate of Incorporation and amended and restated bylaws could have the effect of discouraging others from attempting hostile takeovers and, as a consequence, they may also inhibit temporary fluctuations in the market price of our common stock that often result from actual or rumored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of our voting common stock is Equiniti Trust Company, LLC. Their address is 55 Challenger Road, Floor 2, Ridgefield Park, NJ 07660. </w:t>
      </w:r>
    </w:p>
    <w:p>
      <w:pPr>
        <w:pStyle w:val="TextBody"/>
        <w:bidi w:val="0"/>
        <w:spacing w:before="360" w:after="0"/>
        <w:jc w:val="left"/>
        <w:rPr>
          <w:rFonts w:ascii="Times New Roman" w:hAnsi="Times New Roman"/>
          <w:b/>
          <w:sz w:val="20"/>
        </w:rPr>
      </w:pPr>
      <w:r>
        <w:rPr>
          <w:rFonts w:ascii="Times New Roman" w:hAnsi="Times New Roman"/>
          <w:b/>
          <w:sz w:val="20"/>
        </w:rPr>
        <w:t xml:space="preserve">National Securities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voting common stock is currently listed on Nasdaq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17884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Reed Smith LLP, Palo Alto, California.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17884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each of the two years in the period ended December 31, 2025 incorporated by reference in this prospectus and the registration statement have been so incorporated in reliance on the report of RBSM LLP, an independent registered public accounting firm, incorporated herein by reference,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17884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Annual Reports on Form 10-K, Quarterly Reports on Form 10-Q, and Current Reports on Form 8-K, including any amendments to those reports, and other information that we file with or furnish to the SEC pursuant to Section 13(a) or 15(d) of the Exchange Act are available free of charge on our website and through the SEC’s Electronic Data Gathering, Analysis, and Retrieval system (EDGAR). The SEC maintains an Internet site that contains reports, proxy and information statements, and other information regarding issuers that file electronically with the SEC at https://www.sec.gov. You may access the registration statement, of which this prospectus is a part, at the SEC’s website.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through our website, free of charge, copies of our SEC filings as soon as reasonably practicable after we electronically file or furnish them to the SEC on our website, https://jaguar.health. We have not incorporated by reference into this prospectus the information on our website, and you should not consider it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forms part of a registration statement we have filed with the SEC relating to, among other things, the common stock. As permitted by SEC rules, this prospectus does not contain all the information we have included in the registration statement and the accompanying exhibits and schedules we have filed with the SEC. You may refer to the registration statement, exhibits and schedules for more information about us and the common stock. The statements this prospectus make pertaining to the content of any contract, agreement or other document that is an exhibit to the registration statement necessarily are summaries of their material provisions, and we qualify them in their entirety by reference to those exhibits for complete statements of their provisions. The registration statement, exhibits and schedules are available through the SEC’s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17884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at www.sec.gov. The SEC allows us to “incorporate by reference” the information in certain documents that we file with it, which means that we can disclose important information to you by referring you to documents previously filed with the SEC. The information incorporated by reference is considered to be part of this prospectus, and the information that we subsequently file with the SEC will automatically update and supersede this information. This prospectus incorporates by reference the Company’s documents listed below and all documents subsequently filed by us with the SEC pursuant to Sections 13(a), 13(c), 14 or 15(d) of the Exchange Act prior to the termination of the offering of the securities described in this prospectus (other than documents or information deemed to have been furnished and not filed in accordance with SEC rules, unless otherwise expressly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on April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period ending March 31, 2026 filed with the SEC on May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relating to our Special Meeting of Stockholders held on April 20, 2026, filed on March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Annual Meeting of Stockholders adjourned on May 22, 2026 and June 2, 2026 and reconvened on June 8, 2026, filed on </w:t>
            </w:r>
            <w:hyperlink r:id="rId6">
              <w:r>
                <w:rPr>
                  <w:rStyle w:val="InternetLink"/>
                  <w:rFonts w:ascii="Times New Roman" w:hAnsi="Times New Roman"/>
                  <w:sz w:val="20"/>
                </w:rPr>
                <w:t>April 30, 2026</w:t>
              </w:r>
            </w:hyperlink>
            <w:r>
              <w:rPr>
                <w:rFonts w:ascii="Times New Roman" w:hAnsi="Times New Roman"/>
                <w:sz w:val="20"/>
              </w:rPr>
              <w:t xml:space="preserve">, amended and supplemented by the supplements to the definitive proxy statement filed on </w:t>
            </w:r>
            <w:hyperlink r:id="rId7">
              <w:r>
                <w:rPr>
                  <w:rStyle w:val="InternetLink"/>
                  <w:rFonts w:ascii="Times New Roman" w:hAnsi="Times New Roman"/>
                  <w:sz w:val="20"/>
                </w:rPr>
                <w:t xml:space="preserve">May  6, 2026 </w:t>
              </w:r>
            </w:hyperlink>
            <w:r>
              <w:rPr>
                <w:rFonts w:ascii="Times New Roman" w:hAnsi="Times New Roman"/>
                <w:sz w:val="20"/>
              </w:rPr>
              <w:t xml:space="preserve">and </w:t>
            </w:r>
            <w:hyperlink r:id="rId8">
              <w:r>
                <w:rPr>
                  <w:rStyle w:val="InternetLink"/>
                  <w:rFonts w:ascii="Times New Roman" w:hAnsi="Times New Roman"/>
                  <w:sz w:val="20"/>
                </w:rPr>
                <w:t>May 29, 2026</w:t>
              </w:r>
            </w:hyperlink>
            <w:r>
              <w:rPr>
                <w:rFonts w:ascii="Times New Roman" w:hAnsi="Times New Roman"/>
                <w:sz w:val="20"/>
              </w:rPr>
              <w:t xml:space="preserve">,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9">
              <w:r>
                <w:rPr>
                  <w:rStyle w:val="InternetLink"/>
                  <w:rFonts w:ascii="Times New Roman" w:hAnsi="Times New Roman"/>
                  <w:sz w:val="20"/>
                </w:rPr>
                <w:t>January 12, 2026</w:t>
              </w:r>
            </w:hyperlink>
            <w:r>
              <w:rPr>
                <w:rFonts w:ascii="Times New Roman" w:hAnsi="Times New Roman"/>
                <w:sz w:val="20"/>
              </w:rPr>
              <w:t xml:space="preserve"> (SEC Accession No. 0001193125-26-009221), </w:t>
            </w:r>
            <w:hyperlink r:id="rId10">
              <w:r>
                <w:rPr>
                  <w:rStyle w:val="InternetLink"/>
                  <w:rFonts w:ascii="Times New Roman" w:hAnsi="Times New Roman"/>
                  <w:sz w:val="20"/>
                </w:rPr>
                <w:t>January  12, 2026</w:t>
              </w:r>
            </w:hyperlink>
            <w:r>
              <w:rPr>
                <w:rFonts w:ascii="Times New Roman" w:hAnsi="Times New Roman"/>
                <w:sz w:val="20"/>
              </w:rPr>
              <w:t xml:space="preserve"> (SEC Accession No.  0001193125-26-009644), </w:t>
            </w:r>
            <w:hyperlink r:id="rId11">
              <w:r>
                <w:rPr>
                  <w:rStyle w:val="InternetLink"/>
                  <w:rFonts w:ascii="Times New Roman" w:hAnsi="Times New Roman"/>
                  <w:sz w:val="20"/>
                </w:rPr>
                <w:t>January  15, 2026</w:t>
              </w:r>
            </w:hyperlink>
            <w:r>
              <w:rPr>
                <w:rFonts w:ascii="Times New Roman" w:hAnsi="Times New Roman"/>
                <w:sz w:val="20"/>
              </w:rPr>
              <w:t xml:space="preserve">, </w:t>
            </w:r>
            <w:hyperlink r:id="rId12">
              <w:r>
                <w:rPr>
                  <w:rStyle w:val="InternetLink"/>
                  <w:rFonts w:ascii="Times New Roman" w:hAnsi="Times New Roman"/>
                  <w:sz w:val="20"/>
                </w:rPr>
                <w:t>January  23, 2026</w:t>
              </w:r>
            </w:hyperlink>
            <w:r>
              <w:rPr>
                <w:rFonts w:ascii="Times New Roman" w:hAnsi="Times New Roman"/>
                <w:sz w:val="20"/>
              </w:rPr>
              <w:t xml:space="preserve">, </w:t>
            </w:r>
            <w:hyperlink r:id="rId13">
              <w:r>
                <w:rPr>
                  <w:rStyle w:val="InternetLink"/>
                  <w:rFonts w:ascii="Times New Roman" w:hAnsi="Times New Roman"/>
                  <w:sz w:val="20"/>
                </w:rPr>
                <w:t>February  18, 2026</w:t>
              </w:r>
            </w:hyperlink>
            <w:r>
              <w:rPr>
                <w:rFonts w:ascii="Times New Roman" w:hAnsi="Times New Roman"/>
                <w:sz w:val="20"/>
              </w:rPr>
              <w:t xml:space="preserve">, </w:t>
            </w:r>
            <w:hyperlink r:id="rId14">
              <w:r>
                <w:rPr>
                  <w:rStyle w:val="InternetLink"/>
                  <w:rFonts w:ascii="Times New Roman" w:hAnsi="Times New Roman"/>
                  <w:sz w:val="20"/>
                </w:rPr>
                <w:t>March  3, 2026</w:t>
              </w:r>
            </w:hyperlink>
            <w:r>
              <w:rPr>
                <w:rFonts w:ascii="Times New Roman" w:hAnsi="Times New Roman"/>
                <w:sz w:val="20"/>
              </w:rPr>
              <w:t xml:space="preserve">, </w:t>
            </w:r>
            <w:hyperlink r:id="rId15">
              <w:r>
                <w:rPr>
                  <w:rStyle w:val="InternetLink"/>
                  <w:rFonts w:ascii="Times New Roman" w:hAnsi="Times New Roman"/>
                  <w:sz w:val="20"/>
                </w:rPr>
                <w:t>March  6, 2026</w:t>
              </w:r>
            </w:hyperlink>
            <w:r>
              <w:rPr>
                <w:rFonts w:ascii="Times New Roman" w:hAnsi="Times New Roman"/>
                <w:sz w:val="20"/>
              </w:rPr>
              <w:t xml:space="preserve">, </w:t>
            </w:r>
            <w:hyperlink r:id="rId16">
              <w:r>
                <w:rPr>
                  <w:rStyle w:val="InternetLink"/>
                  <w:rFonts w:ascii="Times New Roman" w:hAnsi="Times New Roman"/>
                  <w:sz w:val="20"/>
                </w:rPr>
                <w:t>March  9, 2026</w:t>
              </w:r>
            </w:hyperlink>
            <w:r>
              <w:rPr>
                <w:rFonts w:ascii="Times New Roman" w:hAnsi="Times New Roman"/>
                <w:sz w:val="20"/>
              </w:rPr>
              <w:t xml:space="preserve">, </w:t>
            </w:r>
            <w:hyperlink r:id="rId17">
              <w:r>
                <w:rPr>
                  <w:rStyle w:val="InternetLink"/>
                  <w:rFonts w:ascii="Times New Roman" w:hAnsi="Times New Roman"/>
                  <w:sz w:val="20"/>
                </w:rPr>
                <w:t>April  7, 2026</w:t>
              </w:r>
            </w:hyperlink>
            <w:r>
              <w:rPr>
                <w:rFonts w:ascii="Times New Roman" w:hAnsi="Times New Roman"/>
                <w:sz w:val="20"/>
              </w:rPr>
              <w:t xml:space="preserve">, </w:t>
            </w:r>
            <w:hyperlink r:id="rId18">
              <w:r>
                <w:rPr>
                  <w:rStyle w:val="InternetLink"/>
                  <w:rFonts w:ascii="Times New Roman" w:hAnsi="Times New Roman"/>
                  <w:sz w:val="20"/>
                </w:rPr>
                <w:t>April  9, 2026</w:t>
              </w:r>
            </w:hyperlink>
            <w:r>
              <w:rPr>
                <w:rFonts w:ascii="Times New Roman" w:hAnsi="Times New Roman"/>
                <w:sz w:val="20"/>
              </w:rPr>
              <w:t xml:space="preserve">, </w:t>
            </w:r>
            <w:hyperlink r:id="rId19">
              <w:r>
                <w:rPr>
                  <w:rStyle w:val="InternetLink"/>
                  <w:rFonts w:ascii="Times New Roman" w:hAnsi="Times New Roman"/>
                  <w:sz w:val="20"/>
                </w:rPr>
                <w:t>April  21, 2026</w:t>
              </w:r>
            </w:hyperlink>
            <w:r>
              <w:rPr>
                <w:rFonts w:ascii="Times New Roman" w:hAnsi="Times New Roman"/>
                <w:sz w:val="20"/>
              </w:rPr>
              <w:t xml:space="preserve">, </w:t>
            </w:r>
            <w:hyperlink r:id="rId20">
              <w:r>
                <w:rPr>
                  <w:rStyle w:val="InternetLink"/>
                  <w:rFonts w:ascii="Times New Roman" w:hAnsi="Times New Roman"/>
                  <w:sz w:val="20"/>
                </w:rPr>
                <w:t>April  27, 2026</w:t>
              </w:r>
            </w:hyperlink>
            <w:r>
              <w:rPr>
                <w:rFonts w:ascii="Times New Roman" w:hAnsi="Times New Roman"/>
                <w:sz w:val="20"/>
              </w:rPr>
              <w:t xml:space="preserve">, </w:t>
            </w:r>
            <w:hyperlink r:id="rId21">
              <w:r>
                <w:rPr>
                  <w:rStyle w:val="InternetLink"/>
                  <w:rFonts w:ascii="Times New Roman" w:hAnsi="Times New Roman"/>
                  <w:sz w:val="20"/>
                </w:rPr>
                <w:t>May 4, 2026</w:t>
              </w:r>
            </w:hyperlink>
            <w:r>
              <w:rPr>
                <w:rFonts w:ascii="Times New Roman" w:hAnsi="Times New Roman"/>
                <w:sz w:val="20"/>
              </w:rPr>
              <w:t xml:space="preserve"> (SEC Accession No. 0001193125-26-202614), May 4, 2026 (SEC Accession No. 0001193125-26-204310), </w:t>
            </w:r>
            <w:hyperlink r:id="rId22">
              <w:r>
                <w:rPr>
                  <w:rStyle w:val="InternetLink"/>
                  <w:rFonts w:ascii="Times New Roman" w:hAnsi="Times New Roman"/>
                  <w:sz w:val="20"/>
                </w:rPr>
                <w:t>May  7, 2026</w:t>
              </w:r>
            </w:hyperlink>
            <w:r>
              <w:rPr>
                <w:rFonts w:ascii="Times New Roman" w:hAnsi="Times New Roman"/>
                <w:sz w:val="20"/>
              </w:rPr>
              <w:t xml:space="preserve">, </w:t>
            </w:r>
            <w:hyperlink r:id="rId23">
              <w:r>
                <w:rPr>
                  <w:rStyle w:val="InternetLink"/>
                  <w:rFonts w:ascii="Times New Roman" w:hAnsi="Times New Roman"/>
                  <w:sz w:val="20"/>
                </w:rPr>
                <w:t>May  19, 2026</w:t>
              </w:r>
            </w:hyperlink>
            <w:r>
              <w:rPr>
                <w:rFonts w:ascii="Times New Roman" w:hAnsi="Times New Roman"/>
                <w:sz w:val="20"/>
              </w:rPr>
              <w:t xml:space="preserve">, </w:t>
            </w:r>
            <w:hyperlink r:id="rId24">
              <w:r>
                <w:rPr>
                  <w:rStyle w:val="InternetLink"/>
                  <w:rFonts w:ascii="Times New Roman" w:hAnsi="Times New Roman"/>
                  <w:sz w:val="20"/>
                </w:rPr>
                <w:t>May  22, 2026</w:t>
              </w:r>
            </w:hyperlink>
            <w:r>
              <w:rPr>
                <w:rFonts w:ascii="Times New Roman" w:hAnsi="Times New Roman"/>
                <w:sz w:val="20"/>
              </w:rPr>
              <w:t xml:space="preserve">, </w:t>
            </w:r>
            <w:hyperlink r:id="rId25">
              <w:r>
                <w:rPr>
                  <w:rStyle w:val="InternetLink"/>
                  <w:rFonts w:ascii="Times New Roman" w:hAnsi="Times New Roman"/>
                  <w:sz w:val="20"/>
                </w:rPr>
                <w:t>May  27, 2026</w:t>
              </w:r>
            </w:hyperlink>
            <w:r>
              <w:rPr>
                <w:rFonts w:ascii="Times New Roman" w:hAnsi="Times New Roman"/>
                <w:sz w:val="20"/>
              </w:rPr>
              <w:t xml:space="preserve">, </w:t>
            </w:r>
            <w:hyperlink r:id="rId26">
              <w:r>
                <w:rPr>
                  <w:rStyle w:val="InternetLink"/>
                  <w:rFonts w:ascii="Times New Roman" w:hAnsi="Times New Roman"/>
                  <w:sz w:val="20"/>
                </w:rPr>
                <w:t>June  2, 202</w:t>
              </w:r>
            </w:hyperlink>
            <w:r>
              <w:rPr>
                <w:rFonts w:ascii="Times New Roman" w:hAnsi="Times New Roman"/>
                <w:sz w:val="20"/>
              </w:rPr>
              <w:t xml:space="preserve">6, </w:t>
            </w:r>
            <w:hyperlink r:id="rId27">
              <w:r>
                <w:rPr>
                  <w:rStyle w:val="InternetLink"/>
                  <w:rFonts w:ascii="Times New Roman" w:hAnsi="Times New Roman"/>
                  <w:sz w:val="20"/>
                </w:rPr>
                <w:t>June  8, 2026</w:t>
              </w:r>
            </w:hyperlink>
            <w:r>
              <w:rPr>
                <w:rFonts w:ascii="Times New Roman" w:hAnsi="Times New Roman"/>
                <w:sz w:val="20"/>
              </w:rPr>
              <w:t xml:space="preserve">, </w:t>
            </w:r>
            <w:hyperlink r:id="rId28">
              <w:r>
                <w:rPr>
                  <w:rStyle w:val="InternetLink"/>
                  <w:rFonts w:ascii="Times New Roman" w:hAnsi="Times New Roman"/>
                  <w:sz w:val="20"/>
                </w:rPr>
                <w:t>June  11, 2026</w:t>
              </w:r>
            </w:hyperlink>
            <w:r>
              <w:rPr>
                <w:rFonts w:ascii="Times New Roman" w:hAnsi="Times New Roman"/>
                <w:sz w:val="20"/>
              </w:rPr>
              <w:t xml:space="preserve">, </w:t>
            </w:r>
            <w:hyperlink r:id="rId29">
              <w:r>
                <w:rPr>
                  <w:rStyle w:val="InternetLink"/>
                  <w:rFonts w:ascii="Times New Roman" w:hAnsi="Times New Roman"/>
                  <w:sz w:val="20"/>
                </w:rPr>
                <w:t>June  18, 2026</w:t>
              </w:r>
            </w:hyperlink>
            <w:r>
              <w:rPr>
                <w:rFonts w:ascii="Times New Roman" w:hAnsi="Times New Roman"/>
                <w:sz w:val="20"/>
              </w:rPr>
              <w:t xml:space="preserve">, </w:t>
            </w:r>
            <w:hyperlink r:id="rId30">
              <w:r>
                <w:rPr>
                  <w:rStyle w:val="InternetLink"/>
                  <w:rFonts w:ascii="Times New Roman" w:hAnsi="Times New Roman"/>
                  <w:sz w:val="20"/>
                </w:rPr>
                <w:t>June 22, 2026</w:t>
              </w:r>
            </w:hyperlink>
            <w:r>
              <w:rPr>
                <w:rFonts w:ascii="Times New Roman" w:hAnsi="Times New Roman"/>
                <w:sz w:val="20"/>
              </w:rPr>
              <w:t xml:space="preserve">, June 25, 2026, July 1, 2026, and July 14, 2026 and on Form 8-K/A filed on </w:t>
            </w:r>
            <w:hyperlink r:id="rId31">
              <w:r>
                <w:rPr>
                  <w:rStyle w:val="InternetLink"/>
                  <w:rFonts w:ascii="Times New Roman" w:hAnsi="Times New Roman"/>
                  <w:sz w:val="20"/>
                </w:rPr>
                <w:t>January  12, 2026</w:t>
              </w:r>
            </w:hyperlink>
            <w:r>
              <w:rPr>
                <w:rFonts w:ascii="Times New Roman" w:hAnsi="Times New Roman"/>
                <w:sz w:val="20"/>
              </w:rPr>
              <w:t xml:space="preserve"> and </w:t>
            </w:r>
            <w:hyperlink r:id="rId32">
              <w:r>
                <w:rPr>
                  <w:rStyle w:val="InternetLink"/>
                  <w:rFonts w:ascii="Times New Roman" w:hAnsi="Times New Roman"/>
                  <w:sz w:val="20"/>
                </w:rPr>
                <w:t>June 22, 2026</w:t>
              </w:r>
            </w:hyperlink>
            <w:r>
              <w:rPr>
                <w:rFonts w:ascii="Times New Roman" w:hAnsi="Times New Roman"/>
                <w:sz w:val="20"/>
              </w:rPr>
              <w:t xml:space="preserve"> (other than information furnished under Item 2.02 or Item 7.01 of Form 8-K and exhibits relating to such information, which is neither filed nor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noted, the SEC file number for each of the documents listed above is 001-36714.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that the Company files pursuant to Sections 13(a), 13(c), 14 and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except as to any document or portion of any document that is deemed furnished and not filed.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contacting: Investor Relations, Jaguar Health, Inc., 200 Pine Street, Suite 400, San Francisco, CA, 94104 or call (415) 371-8300.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43705" cy="1139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3"/>
                    <a:stretch>
                      <a:fillRect/>
                    </a:stretch>
                  </pic:blipFill>
                  <pic:spPr bwMode="auto">
                    <a:xfrm>
                      <a:off x="0" y="0"/>
                      <a:ext cx="4243705" cy="11398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Resale of up to 5,522,551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The following table sets forth the costs and expenses payable by us in connection with the issuance and distribution of the securities being registered hereunder. All of the amounts shown are estimates, except for the SEC Registration Fees.</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0"/>
        <w:gridCol w:w="402"/>
        <w:gridCol w:w="142"/>
        <w:gridCol w:w="1162"/>
        <w:gridCol w:w="63"/>
      </w:tblGrid>
      <w:tr>
        <w:trPr/>
        <w:tc>
          <w:tcPr>
            <w:tcW w:w="5170"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7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304" w:type="dxa"/>
            <w:gridSpan w:val="2"/>
            <w:tcBorders/>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1,677.86</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50,000</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40,000</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5,000</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6876" w:type="dxa"/>
            <w:gridSpan w:val="4"/>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96,677.86</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DGCL authorizes a corporation in its certificate of incorporation to eliminate or limit personal liability of directors of the corporation for violations of the directors’ fiduciary duty of care. However, directors remain liable for breaches of duties of loyalty, failing to act in good faith, engaging in intentional misconduct, knowingly violating a law, paying a dividend or approving a stock repurchase which was illegal under DGCL Section 174 or obtaining an improper personal benefit. In addition, equitable remedies for breach of fiduciary duty of care, such as injunction or recession, are available. </w:t>
      </w:r>
    </w:p>
    <w:p>
      <w:pPr>
        <w:pStyle w:val="TextBody"/>
        <w:bidi w:val="0"/>
        <w:spacing w:before="240" w:after="0"/>
        <w:jc w:val="left"/>
        <w:rPr>
          <w:rFonts w:ascii="Times New Roman" w:hAnsi="Times New Roman"/>
          <w:sz w:val="20"/>
        </w:rPr>
      </w:pPr>
      <w:r>
        <w:rPr>
          <w:rFonts w:ascii="Times New Roman" w:hAnsi="Times New Roman"/>
          <w:sz w:val="20"/>
        </w:rPr>
        <w:t xml:space="preserve">Our current certificate of incorporation eliminates the personal liability of the members of our board of directors to the fullest extent permitted by the DGCL. Any repeal or modification of that provision by the stockholders of the corporation will not adversely affect any right or protection of a director of the corporation existing at the time of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Our current bylaws provide for indemnification of its officers and directors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pursuant to which we agreed, to the maximum extent permitted by applicable law and subject to the specified terms and conditions set forth in each agreement, to indemnify a director or officer who acts on our behalf and is made or threatened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made a party to any action or proceeding against expenses, judgments, fines and amounts paid in settlement that are incurred by such officer or director in connection with the action or proceeding. The indemnification provisions apply whether the action was instituted by a third party or by us.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and maintain insurance on behalf of our officers and directors that provides coverage for expenses and liabilities incurred by them in their capacities as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below lists all of the securities sold by us during the past three years which were not registered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2023, pursuant to that certain exchange agreement dated December 28, 2023, the Company issued 92 shares of the Company’s common stock to Iliad Research and Trading, L.P. (“Iliad”) in exchange for a $785,362.50 reduction in the outstanding balance of the royalty interest held by Iliad.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Company entered into a privately negotiated exchange agreement with Streeterville Capital, LLC (“Streeterville”) pursuant to which the Company issued 30 shares of the Company’s common stock, par value $0.0001, to Streeterville in exchange for a $165,000 reduction in the outstanding balance of the royalty interest dated August 24, 2022.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Company entered into a privately negotiated exchange agreement with Iliad pursuant to which the Company issued an aggregate of 152 shares of the Company’s common stock to Iliad in exchange for a $836,000 reduction in the outstanding balance of the royalty interest in the original principal amount of $12.0 million sold by the Company to Iliad on October 8, 2020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2024, pursuant to the PIPE Purchase Agreement, each of the PIPE investors entered into an exchange agreement with the Company (each, a “PIPE Warrant Exchange Agreement” and collectively, the “PIPE Warrant Exchange Agreements”). Pursuant to the PIPE Warrant Exchange Agreements, the Company agreed to exchange the PIPE Warrants for shares of common stock at an exchange ratio of 1-for-2.5 (“PIPE Warrant Exchange Transaction”). Upon completion of the PIPE Warrant Exchange Transaction, the Company exchanged the PIPE Warrants to purchase up to 143 shares of Common Stock for 358 shares of Common Stock (the “PIPE Exchange Shares”), and the PIPE Warrants were terminated. The PIPE Exchange Shares would be subject to a twelve-month lock-up, and any other equity security of the Company other than the PIPE Exchange Shares owned by the PIPE investors as of the date of the PIPE Warrant Exchange Agreement would be subject to a six-month lock-up. </w:t>
      </w:r>
    </w:p>
    <w:p>
      <w:pPr>
        <w:pStyle w:val="TextBody"/>
        <w:bidi w:val="0"/>
        <w:spacing w:before="240" w:after="0"/>
        <w:jc w:val="left"/>
        <w:rPr>
          <w:rFonts w:ascii="Times New Roman" w:hAnsi="Times New Roman"/>
          <w:sz w:val="20"/>
        </w:rPr>
      </w:pPr>
      <w:r>
        <w:rPr>
          <w:rFonts w:ascii="Times New Roman" w:hAnsi="Times New Roman"/>
          <w:sz w:val="20"/>
        </w:rPr>
        <w:t xml:space="preserve">On March 1, 2024, the Company entered into a privately negotiated exchange agreement with Streeterville, pursuant to which the Company issued an aggregate of 179.38 shares of Series J Preferred Stock to Streeterville in exchange for the surrender by Streeterville of the royalty interest in the original principal amount of $10 million issued by the Company to Streeterville on March 8, 2021 (the “March 2021 Royalty Interest”). Upon completion of the above-referenced exchange transaction, all outstanding balance of the March 2021 Royalty Interest was fully paid, and the March 2021 Royalty Interest was terminated. </w:t>
      </w:r>
    </w:p>
    <w:p>
      <w:pPr>
        <w:pStyle w:val="TextBody"/>
        <w:bidi w:val="0"/>
        <w:spacing w:before="240" w:after="0"/>
        <w:jc w:val="left"/>
        <w:rPr>
          <w:rFonts w:ascii="Times New Roman" w:hAnsi="Times New Roman"/>
          <w:sz w:val="20"/>
        </w:rPr>
      </w:pPr>
      <w:r>
        <w:rPr>
          <w:rFonts w:ascii="Times New Roman" w:hAnsi="Times New Roman"/>
          <w:sz w:val="20"/>
        </w:rPr>
        <w:t xml:space="preserve">On March 5, 2024, the Company entered into a privately negotiated exchange agreement with Streeterville, pursuant to which the Company issued 190 shares of the Company’s common stock in exchange for the surrender and cancellation of 40 shares of Series J Perpetual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March 18, 2024, the Company entered into a privately negotiated securities purchase agreement with Gen Ilac Ve Saglik Urunleri Sanayi Ve Ticaret, A.S., (“Gen”) pursuant to which the Company issued 317 shares of the Company’s common stock at $6,300.00 per share for gross proceeds of approximately $2.0 million. The sale of the securities was consummated in connection with the licensing transaction covering the exclusive license and commercialization agreement for the Company’s FDA-approved prescription drug Crofelemer with purchasers in certain Eastern European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March 19, 2024, the Company entered into a privately negotiated exchange agreement with Streeterville, pursuant to which the Company issued 158 shares of the Company’s common stock in exchange for the surrender and cancellation of 40 shares of Series J Perpetual Preferred Stock based on an effective exchange price of $6,300.00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June 7, 2024, the Company entered into an exchange agreement with Iliad, pursuant to which the parties agreed to partition $1,500,000 from the outstanding balance of the October 2020 Royalty Interest. This reduced the outstanding balance of the October 2020 Royalty Interest. The partitioned royalty was exchanged for 7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15, 2024, the Company entered into a privately negotiated exchange agreement with Iliad pursuant to which the Company issued an aggregate of 520 shares of common stock to Iliad in exchange for a $1.9 million reduction in the outstanding balance of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July 18, 2024, the Company entered into a privately negotiated exchange agreement with Iliad pursuant to which the Company issued an aggregate of 229 shares of common stock to Iliad in exchange for $819,600 reduction in the outstanding balance of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2025, the Company entered into a privately negotiated exchange agreement with Uptown. Pursuant to such exchange agreement, the Company issued 1,474 shares of common stock to Uptown in exchange for a $1,094,952 reduction in the outstanding balance of the royalty interest held by Uptown.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2025, the Company entered into securities purchase agreements (the “Convertible Note Purchase Agreements”) with selected institutional and accredited investors (each, a “Note Investor”), pursuant to which the Company agreed to issue approximately $3.4 million aggregate principal amount of convertible promissory notes (collectively, the “Notes”) and warrants to purchase up to 17,788 shares of common stock to the Note Investors (the “Convertible Notes Financing”). The Convertible Notes Financing closed on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The Notes bore interest at the rate of 6% per annum and would mature on June 30, 2025 (the “Maturity Date”). The Notes were convertible, at each holder’s option, in part or in full, into an aggregate of 17,789 shares (the “Conversion Shares”) of common stock, at a conversion price of $194 per share for investors who were not an officer, director, employee or consultant of the Company (collectively, an “Insider”), and $194 per share for investors who were Insiders, subject to adjustment for customary stock dividend, stock split, stock combination or other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Convertible Note Purchase Agreements, the investors received warrants (collectively, the “Convert Warrants”) to purchase up to an aggregate of 17,789 shares of common stock (the “Convert Warrant Shares”) with a fair value of $3.3 million and an initial exercise price equal to $189 per share for investors who were not Insiders, and $190 per share for investors who were Insiders, in each case subject to adjustment for reclassification of the common stock, non-cash dividend, stock split, reverse stock split or other similar transaction (the “Convert Warrant Exercise Price”). The Convert Warrants would be exercisable immediately upon issuance and would expire on the earlier of (i) March 31, 2030, (ii) the consummation of a fundamental transaction and (iii) the consummation of a liquidation event (the “Convert Warrant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Certain Insiders, including the Company’s Chief Executive Officer, Chief Financial Officer and certain members of the Company’s board of directors and officers, participated in the Private Placement. These Insiders purchased $535,000 aggregate principal amount of the Notes, which were convertible into up to 2,752 Conversion Shares, and received Convert Warrants to purchase up to 2,752 Convert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Convertible Notes Financing, the Company issued to H.C. Wainwright &amp; Co., LLC (“Wainwright”), the placement agent for the Convertible Notes Financing, warrants to purchase up to 1,068 shares of common stock (the “Convert PA Warrants”) with a fair value of $259,000. The Convert PA Warrants have an exercise price of $242 per share.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2025, the Company entered into a privately negotiated exchange agreement with Iliad pursuant to which the Company issued an aggregate of 1,643 shares of common stock to Iliad in exchange for $632,500 reduction in the outstanding balance of October 2020 Purchase Agreement.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13, 2025, the Company entered into a privately negotiated exchange agreement with Iliad, pursuant to which the Company issued an aggregate of 1,714 shares of common stock to Iliad in exchange for a $466,200 reduction in the outstanding balance of the October 2020 Purchase Agreement. The shares of common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14, 2025, the Company entered into privately negotiated exchange agreements with Iliad and Streeterville, under which the Company issued 22 and 99.3822 shares of Series L Preferred Stock to Iliad and Streeterville, respectively, in exchange for a $550,000 reduction in the outstanding balance of the October 2020 Purchase Agreement, and for all of the outstanding 99.3822 shares of Series J Preferred Stock held by Streeterville, respectively. The shares of Series L Preferred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20, 2025, the Company entered into a securities purchase agreement with selected institutional investors for a registered direct offering (the “Registered Offering”) of 7,037 shares of common stock at $6.09 per share, priced at-the-market under Nasdaq rules. In a concurrent private placement, the Company issued to such investors unregistered warrants to purchase up to 14,075 shares of common stock (“Common Warrants”) at an exercise price of $204 per share. The Common Warrants are immediately exercisable and expire upon the earlier of (i) 24 months from issuance, (ii) a fundamental transaction, or (iii) a liquidation event. The Company also issued to Wainwright warrants to purchase 422 shares of common stock (the “Wainwright Warrants”), representing 6.0% of the shares sold in the Registered Offering. The Wainwright Warrants have substantially similar terms to the Common Warrants issued to investors in the same transaction, but with an exercise price of $266 per share, which represents 125% of the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On June 24, 2025, the Company completed a private exchange transaction with selected accredited investors (the “Participating Investors”), issuing approximately $2.57 million aggregate principal amount of new 6% convertible promissory notes (the “Replacement Notes”) in exchange for the cancellation of the March 2025 Convertible Notes held by such Participating Investors (the “Note Exchange Transaction”). The Replacement Notes would mature on January 30, 2026, bore interest at 6% per annum, and were immediately convertible at the option of the holders into up to 13,747 shares of the Company’s common stock at a conversion price of $194 per share for non-Insiders and $5.555 per share for Insiders, subject to adjustment for customary stock dividend, stock split, stock combination or other similar transactions; provided, however, that (a) no conversion shares may be issued to a noteholder who was an Insider unless the stockholder approval was obtained by the Company in accordance with Nasdaq Listing Rules 5635(c) and 5635(d), and (b) the total cumulative number of conversion shares that may be issued to a noteholder who was not an Insider, together with any shares of Common Stock issued to (i) such noteholder upon exercise of the New Warrants issued to such noteholder and (ii) the other Participating Investors in the same series of transactions as the Replacement Notes, may not exceed the requirements of The Nasdaq Capital Market (including the rules related to the aggregation of offerings under Nasdaq Listing Rule 5635(d), if applicable) (the “Issuance Cap”), unless the stockholder approval was obtained by the Company to issue more than the Issuance Cap. The Company also issued warrants to purchase common stock (the “New Warrants”) and agreed to file a registration statement for the resale of the related conversion shares and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Note Exchange Transaction, the Company issued to the Participating Investors New Warrants to purchase up to an aggregate of 26,531 shares of common stock (the “New Warrant Shares”) with an initial exercise price equal to $95, subject to adjustment for reclassification of the common stock, non-cash dividend, stock split, reverse stock split or other similar transaction. The New Warrants would be exercisable immediately upon the Initial Exercise Date (as define therein) and would expire on the earlier of (i) 18 months from the date of issuance, (ii) the consummation of a fundamental transaction and (iii) the consummation of a liquidation event; provided, however, that no New Warrant Shares may be issued to a holder unless the stockholder approval was obtained by the Company in accordance with Nasdaq Listing Rules 5635(c) and/or 5635(d), as applicable. All of the securities issued in the Note Exchange Transaction were offered and sold in reliance upon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June 27, 2025, the Company entered into a privately negotiated exchange agreements (the “Iliad Series M Exchange Agreement” and the “Streeterville Series M Exchange Agreement”) with Iliad and Streeterville, pursuant to which Company issued 170 shares and 90 shares of Series M Preferred Stock to Iliad and Streeterville, respectively, in exchange for a $4,250,000 reduction in the outstanding balance of the October 2020 Purchase Agreement and a $2,250,000 reduction in the outstanding balance of the August 2022 Royalty Interest, respectively. The shares of Series M Preferred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or around September 9, 2025, the Company entered into securities purchase agreements (each a “PIPE Purchase Agreement” and collectively, the “PIPE Purchase Agreements”) with certain investors named therein (collectively, the “Purchasers”), pursuant to which the Company issued and sold to the Purchasers in a private placement an aggregate of approximately 951 shares of Series N Preferred Stock, for an aggregate purchase price of approximately $2.38 million. The shares of Series N Preferred Stock were issued in reliance upon exemptions from registration pursuant to 4(a)(2) under the Securities Act and Rule 506 of Regulation D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28, 2025, the Company entered into a securities purchase agreement (the “Purchase Agreement”) with Brown Stone Capital Limited (“Brown Stone”), pursuant to which the Company issued and sold to Brown Stone (i) 4,617 shares of common stock and (ii) 13,698 pre-funded warrants (the “Pre-Funded Warrants”) to purchase shares of the Company’s common stock (the “Pre-Funded Warrant Shares” and together with the Shares and the Pre-Funded Warrants, the “Securities”). The Securities were offered and sold in reliance upon exemptions from registration pursuant to Section 4(a)(2) under the Securities Act and Rule 506 of Regulation D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30, 2025, the Company entered into a privately negotiated exchange agreement with Streeterville. Pursuant to this agreement, the Company issued 8,187 shares of common stock to Streeterville in exchange for a $600,000 reduction in the outstanding balance of the royalty interest held by Streeterville.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2025, the Company entered into a privately negotiated exchange agreement with Streeterville, pursuant to which the Company issued an aggregate of 10,322 shares of common stock to Streeterville in exchange for 25 outstanding shares of Series M Preferred Stock held by Streeterville. Upon completion of such exchange transaction, the exchanged Series M Preferred Stock were cancelled and retired. The common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On December 9, 2025, the Company entered into a privately negotiated exchange agreement with Iliad (the “First Exchange Agreement”), pursuant to which the Company issued (i) 11,429 shares (the “First Exchange Shares”) of common stock and (ii) a pre-funded common stock purchase warrant to purchase 37,273 shares of common stock (the “First Pre-Funded Warrant”) to Iliad in exchange for 75 shares of Series M Preferred Stock held by Iliad (the “First Exchange Transaction”). Upon completion of the First Exchange Transaction, such 75 shares of Series M Preferred Stock were cancelled and retired.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11, 2025, the Company entered into another privately negotiated exchange agreement with Iliad (the “Second Exchange Agreement” and together with the First Exchange Agreement, collectively the “Exchange Agreements”), pursuant to which the Company issued (i) 1,143 shares of common stock (the “Second Exchange Shares” and together with the First Exchange Shares, collectively the “Exchange Shares”) and (ii) a pre-funded common stock purchase warrant to purchase 8,709 shares of common stock (the “Second Pre-Funded Warrant” and together with the First Pre-Funded Warrant, collectively the “Pre-Funded Warrants”) to Iliad in exchange for 16 shares of Series M Preferred Stock held by Iliad (the “Second Exchange Transaction”). Upon completion of the Second Exchange Transaction, such 16 shares of Series M Preferred Stock were cancelled and retired. </w:t>
      </w:r>
    </w:p>
    <w:p>
      <w:pPr>
        <w:pStyle w:val="TextBody"/>
        <w:bidi w:val="0"/>
        <w:spacing w:before="240" w:after="0"/>
        <w:jc w:val="left"/>
        <w:rPr>
          <w:rFonts w:ascii="Times New Roman" w:hAnsi="Times New Roman"/>
          <w:sz w:val="20"/>
        </w:rPr>
      </w:pPr>
      <w:r>
        <w:rPr>
          <w:rFonts w:ascii="Times New Roman" w:hAnsi="Times New Roman"/>
          <w:sz w:val="20"/>
        </w:rPr>
        <w:t xml:space="preserve">Each of the Pre-Funded Warrants is exercisable in part or in full immediately at an exercise price of $0.001 per share, and may be exercised at any time until such Pre-Funded Warrant is exercised in full. The Pre-Funded Warrants provide that the number of shares that may be exercised shall be limited to ensure that, following such exercise, the number of shares of Common Stock beneficially owned by the holder, together with its affiliates and certain related parties, does not exceed 9.99% of the total number of shares of common stock then issued and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Purchase Agreements and Promissory Notes </w:t>
      </w:r>
    </w:p>
    <w:p>
      <w:pPr>
        <w:pStyle w:val="TextBody"/>
        <w:bidi w:val="0"/>
        <w:spacing w:before="120" w:after="0"/>
        <w:jc w:val="left"/>
        <w:rPr>
          <w:rFonts w:ascii="Times New Roman" w:hAnsi="Times New Roman"/>
          <w:sz w:val="20"/>
        </w:rPr>
      </w:pPr>
      <w:r>
        <w:rPr>
          <w:rFonts w:ascii="Times New Roman" w:hAnsi="Times New Roman"/>
          <w:sz w:val="20"/>
        </w:rPr>
        <w:t xml:space="preserve">On January 6, 2026, the Company entered into securities purchase agreements with two accredited investors for the issuance of unsecured promissory notes in the aggregate principal amount of $350,000. The transaction closed on the same day. The notes bore interest at a rate of 6% per annum and would mature one month from the date of issuance. The Company had the right to prepay any outstanding amount under the notes without penalty or premium. During the three months ended March 31, 2026, the Company subsequently paid the unsecured promissory notes in full.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for the investors to enter into the agreements, the Company issued warrants to purchase an aggregate of 10,000 shares of the Company’s common stock at an initial exercise price of $35.00 per share. The warrants are exercisable immediately and expire upon the earlier of five years from issuance, the consummation of a fundamental transaction, or a liquidation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Royalty and Preferred Stock Exchange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January 16, 2026, the Company entered into a series of privately negotiated exchange agreements with Iliad and Streeterville to reduce outstanding debt and retire certain classes of preferred stock. Pursuant to the exchange agreements, the Company issued six separate pre-funded common stock purchase warrants exercisable for an aggregate of 336,465 shares of common stock at an exercise price of $0.035 per share. </w:t>
      </w:r>
    </w:p>
    <w:p>
      <w:pPr>
        <w:pStyle w:val="TextBody"/>
        <w:bidi w:val="0"/>
        <w:spacing w:before="240" w:after="0"/>
        <w:jc w:val="left"/>
        <w:rPr>
          <w:rFonts w:ascii="Times New Roman" w:hAnsi="Times New Roman"/>
          <w:sz w:val="20"/>
        </w:rPr>
      </w:pPr>
      <w:r>
        <w:rPr>
          <w:rFonts w:ascii="Times New Roman" w:hAnsi="Times New Roman"/>
          <w:sz w:val="20"/>
        </w:rPr>
        <w:t>The transactions are summarized as follows: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First and Second Pre-Funded Warrants to purchase 44,396 and 31,767 shares, respectively, in exchange for a combined reduction of $2.0 million in the outstanding balances of the October 2020 and August 2022 Royalty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Third and Fourth Pre-Funded Warrants to purchase 20,555 and 92,855 shares, respectively, in exchange for the cancellation and retirement of all 121.3822 outstanding shares of Series L Perpetual Preferred Stock held by Iliad and Streeterville.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Fifth and Sixth Pre-Funded Warrants to purchase 82,014 and 64,879 shares, respectively, in exchange for the cancellation and retirement of 157.22 shares of Series M Perpetual Preferred Stock held by Iliad and Streeterville.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14, 2026, the Company entered into a privately negotiated exchange agreement with Uptown, pursuant to which the Company issued 28,660 shares of common stock to Uptown in exchange for a $91,000 reduction in the outstanding balance of the Company’s December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The offers, sales, and issuances of the securities described above were deemed to be exempt from registration under the Securities Act in reliance on Section 3(a)(9) or Section 4(a)(2) of the Securities Act, Regulation D or Regulation 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May 19, 2026, the Company entered into a series of privately negotiated exchange agreements with Uptown and Streeterville to reduce outstanding obligations on existing royalty interests in exchange for the newly designated Series Q Perpetual Preferred Stock (the “Series Q Preferred Stock”). </w:t>
      </w:r>
    </w:p>
    <w:p>
      <w:pPr>
        <w:pStyle w:val="TextBody"/>
        <w:bidi w:val="0"/>
        <w:spacing w:before="240" w:after="0"/>
        <w:jc w:val="left"/>
        <w:rPr>
          <w:rFonts w:ascii="Times New Roman" w:hAnsi="Times New Roman"/>
          <w:sz w:val="20"/>
        </w:rPr>
      </w:pPr>
      <w:r>
        <w:rPr>
          <w:rFonts w:ascii="Times New Roman" w:hAnsi="Times New Roman"/>
          <w:sz w:val="20"/>
        </w:rPr>
        <w:t>The transactions are summarized as follows: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500 shares of Series Q Preferred Stock to Uptown, in exchange for a $12.5 million reduction in the outstanding balance of a royalty interest in the original principle of $12.0 million sold by the Company to Uptown in December 2020 (as amended, the “December 2020 Royalty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408 shares of Series Q Preferred Stock to Streeterville, in exchange for a $10.2 million reduction in the outstanding balance of a royalty interest in the original principle of $12.0 million sold by the Company to Streeterville in August 2022 (as amended, the “August 2022 Royalty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May 21, 2026, the Company entered into two privately negotiated exchange agreements with Streeterville, pursuant to which the Company issued an aggregate of 54,222 shares of common stock to Streeterville in exchange for an aggregate of 7.96 outstanding shares of Series Q Preferred Stock held by Streeterville (the “Exchanged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Company entered into a privately negotiated exchange agreement with Streeterville, pursuant to which the Company issued 31,958 shares common stock to Streeterville in exchange for an aggregate of 3.72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the Company entered into another privately negotiated exchange agreement with Streeterville, pursuant to which the Company issued 32,710 shares of common stock to Streeterville in exchange for an aggregate of 4.2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securities purchase agreements (each a “Preferred Stock Purchase Agreement” and collectively, the “Preferred Stock Purchase Agreements”) with certain investors named therein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 million (the “Preferred Stock Financing”). The Preferred Stock Financing closed June 9, 2026.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Investors’ execution and delivery of the Preferred Stock Purchase Agreements, the Company agreed to issue to the Investors within one trading day after the filing date of the registration statement relating to the Preferred Stock Financing (the “Preferred Registration Statement”) pre-funded warrants (the “Commencement Pre-Funded Warrant”), exercisable to purchase up to an aggregate number of shares of common stock equal to $72,000 divided by the greater of (i) the average VWAP of the Common Stock over the five trading day period immediately preceding the filing of the initial Preferred Registration Statement, and (ii) 20% of the Nasdaq Minimum Price (as defined in Nasdaq Rule 5635(d)(1)(A)) of common stock on the execution date of the Preferred Stock Purchase Agreements. The shares of common stock issuable upon exercise of the Commencement Pre-Funded Warrant will be included in the Preferred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9, 2026, the Company entered into an exchange agreement with Streeterville, pursuant to which the Company issued 34,798 shares (the “First Exchange Shares”) of common stock to Streeterville in exchange for an aggregate of 3.8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Company entered into another exchange agreement with Streeterville, pursuant to which the Company issued 36,796 shares (the “Second Exchange Shares”) of common stock to Streeterville in exchange for an aggregate of 3.4 outstanding shares of Series Q Preferred Stock held by Streeterville, which when combined with the First Exchange Shares resulted in the aggregate issuance by the Company of more than 5% of the Company’s issued and outstanding shares of common stock, as last reported in the Company’s Quarterly Report on Form 10-Q filed on May 20, 2026.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Company entered into another exchange agreement with Streeterville, pursuant to which the Company issued 38,655 shares of common stock to Streeterville in exchange for an aggregate of 3.68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Each of the foregoing issuances of securities were not registered under the Securities Act or the securities laws of any state, and unless otherwise specified, in each case the securities were offered and issued in reliance on the exemption from registration under the Securities Act afforded by Section 4(a)(2) thereof or Rule 506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 See the Exhibit Index on the page immediately preceding the signature page hereto for a list of exhibits filed as part of this registration statement on Form S-1, which Exhibit Index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(b) No financial statement schedules are provided because the information called for is not required or is shown either in the financial statements or the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provided, however, that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240" w:after="0"/>
        <w:jc w:val="left"/>
        <w:rPr>
          <w:rFonts w:ascii="Times New Roman" w:hAnsi="Times New Roman"/>
          <w:sz w:val="20"/>
        </w:rPr>
      </w:pPr>
      <w:r>
        <w:rPr>
          <w:rFonts w:ascii="Times New Roman" w:hAnsi="Times New Roman"/>
          <w:sz w:val="20"/>
        </w:rPr>
        <w:t xml:space="preserve">(5)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(6) Insofar as indemnification for liabilities arising under the Securities Act may be permitted to directors, officers and controlling persons of the registrant pursuant to any charter provision, by law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2.1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4">
              <w:r>
                <w:rPr>
                  <w:rStyle w:val="InternetLink"/>
                </w:rPr>
                <w:t xml:space="preserve">Agreement and Plan of Merger, dated as of March  31, 2017, by and among Jaguar Health, Inc. (f/k/a Jaguar Animal Health, Inc.), Napo Acquisition Corporation, Napo Pharmaceuticals, Inc. and Gregory Stock (incorporated by reference to Exhibit 2.1 to the Current Report on Form 8—K of Jaguar Health, Inc. filed March 31, 2017,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5">
              <w:r>
                <w:rPr>
                  <w:rStyle w:val="InternetLink"/>
                </w:rPr>
                <w:t xml:space="preserve">Third Amended and Restated Certificate of Incorporation (incorporated by reference to Exhibit 3.1 to the Current Report on Form 8—K (No. 001—36714) filed with the Securities and Exchange Commission on August 1, 2017).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6">
              <w:r>
                <w:rPr>
                  <w:rStyle w:val="InternetLink"/>
                </w:rPr>
                <w:t xml:space="preserve">Certificate of Amendment of the Third Amended and Restated Certificate of Incorporation (incorporated by reference to Exhibit 3.2 to the Annual Report on Form 10-K filed with the Securities and Exchange Commission on April 9, 2018).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7">
              <w:r>
                <w:rPr>
                  <w:rStyle w:val="InternetLink"/>
                </w:rPr>
                <w:t xml:space="preserve">Certificate of Second Amendment of the Third Amended and Restated Certificate of Incorporation (incorporated by reference to Exhibit 3.1 to the Current Report on Form 8-K filed with the Securities and Exchange Commission on June 1, 2018).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8">
              <w:r>
                <w:rPr>
                  <w:rStyle w:val="InternetLink"/>
                </w:rPr>
                <w:t xml:space="preserve">Certificate of Third Amendment of the Third Amended and Restated Certificate of Incorporation (incorporated by reference to Exhibit 3.2 to the Current Report on Form 8-K filed with the Securities and Exchange Commission on June 1, 2018).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9">
              <w:r>
                <w:rPr>
                  <w:rStyle w:val="InternetLink"/>
                </w:rPr>
                <w:t xml:space="preserve">Certificate of Fifth Amendment of the Third Amended and Restated Certificate of Incorporation (incorporated by reference to Exhibit 3.1 to the Current Report on Form 8-K filed with the Securities and Exchange Commission on June 6, 2019).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0">
              <w:r>
                <w:rPr>
                  <w:rStyle w:val="InternetLink"/>
                </w:rPr>
                <w:t xml:space="preserve">Amended and Restated Bylaws (incorporated by reference to Exhibit 3.2 to the Current Report on Form 8—K (No. 001—36714) filed with the Securities and Exchange Commission on May 18, 2015).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1">
              <w:r>
                <w:rPr>
                  <w:rStyle w:val="InternetLink"/>
                </w:rPr>
                <w:t xml:space="preserve">Certificate of Designation of Series C Perpetual Preferred Stock (incorporated by reference to Exhibit 3.1 to the Current Report on Form 8-K (No. 001-036714) filed with the Securities and Exchange Commission on September 2, 2020).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2">
              <w:r>
                <w:rPr>
                  <w:rStyle w:val="InternetLink"/>
                </w:rPr>
                <w:t>Certificate of Designation of Series D Perpetual Preferred Stock (incorporated by reference to Exhibit 3.2 to the Current Report on Form 8-K (No. 001-036714) filed with the Securities and Exchange Commission on September 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3">
              <w:r>
                <w:rPr>
                  <w:rStyle w:val="InternetLink"/>
                </w:rPr>
                <w:t xml:space="preserve">Certificate of Retirement of Series A Convertible Participating Preferred Stock, Series B Convertible Preferred Stock and Series B-1 Convertible Preferred Stock of Jaguar Health, Inc. (incorporated by reference to Exhibit 3.1 to the Current Report on Form 8-K (No. 001-036714) filed with the Securities and Exchange Commission on September 9, 2020)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4">
              <w:r>
                <w:rPr>
                  <w:rStyle w:val="InternetLink"/>
                </w:rPr>
                <w:t xml:space="preserve">Corrected Certificate of Amendment of the Third Amended and Restated Certificate of Incorporation (incorporated by reference to Exhibit 3.1 to the Form 8-K of Jaguar Health, Inc. filed December 10, 2020,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5">
              <w:r>
                <w:rPr>
                  <w:rStyle w:val="InternetLink"/>
                </w:rPr>
                <w:t xml:space="preserve">Certificate of Fifth Amendment of the Third Amended and Restated Certificate of Incorporation of Jaguar Health, Inc. (incorporated by reference to Exhibit 3.1 to the Form 8-K of Jaguar Health, Inc. filed September 3, 2021,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6">
              <w:r>
                <w:rPr>
                  <w:rStyle w:val="InternetLink"/>
                </w:rPr>
                <w:t xml:space="preserve">First Amendment to the Amended and Restated Bylaws, dated March 17, 2022. (incorporated by reference to Exhibit 3.1 to the Form 8-K of Jaguar Health, Inc. filed March 18, 2022,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7">
              <w:r>
                <w:rPr>
                  <w:rStyle w:val="InternetLink"/>
                </w:rPr>
                <w:t xml:space="preserve">Certificate of Designation of Series E Preferred Stock. (incorporated by reference to Exhibit 3.1 to the Form 8-K of Jaguar Health, Inc. filed August 23, 2022,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7"/>
        <w:gridCol w:w="776"/>
        <w:gridCol w:w="8582"/>
      </w:tblGrid>
      <w:tr>
        <w:trPr/>
        <w:tc>
          <w:tcPr>
            <w:tcW w:w="847" w:type="dxa"/>
            <w:tcBorders/>
            <w:vAlign w:val="center"/>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8582"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776" w:type="dxa"/>
            <w:tcBorders/>
            <w:vAlign w:val="bottom"/>
          </w:tcPr>
          <w:p>
            <w:pPr>
              <w:pStyle w:val="TableContents"/>
              <w:bidi w:val="0"/>
              <w:spacing w:before="0" w:after="283"/>
              <w:jc w:val="left"/>
              <w:rPr/>
            </w:pPr>
            <w:r>
              <w:rPr/>
              <w:t>  </w:t>
            </w:r>
          </w:p>
        </w:tc>
        <w:tc>
          <w:tcPr>
            <w:tcW w:w="858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3.14</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48">
              <w:r>
                <w:rPr>
                  <w:rStyle w:val="InternetLink"/>
                </w:rPr>
                <w:t xml:space="preserve">Certificate of Sixth Amendment of the Third Amended and Restated Certificate of Incorporation of Jaguar Health, Inc. (incorporated by reference to Exhibit 3.1 to the Form 8-K of Jaguar Health, Inc. filed September 30, 2022,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3.15</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49">
              <w:r>
                <w:rPr>
                  <w:rStyle w:val="InternetLink"/>
                </w:rPr>
                <w:t xml:space="preserve">Certificate of Designation of Series F Preferred Stock. (incorporated by reference to Exhibit 3.1 to the Form 8-K of Jaguar Health, Inc. filed November 16, 2022,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3.16</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0">
              <w:r>
                <w:rPr>
                  <w:rStyle w:val="InternetLink"/>
                </w:rPr>
                <w:t xml:space="preserve">Certificate of Seventh Amendment of the Third Amended and Restated Certificate of Incorporation of Jaguar Health, Inc. (incorporated by reference to Exhibit 3.1 to the Form 8-K of Jaguar Health, Inc. filed January 23, 2023,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3.17</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1">
              <w:r>
                <w:rPr>
                  <w:rStyle w:val="InternetLink"/>
                </w:rPr>
                <w:t xml:space="preserve">Certificate of Designation of Series G Convertible Preferred Stock. (incorporated by reference to Exhibit 3.1 to the Form 8-K of Jaguar Health, Inc. filed May 9, 2023,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3.18</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2">
              <w:r>
                <w:rPr>
                  <w:rStyle w:val="InternetLink"/>
                </w:rPr>
                <w:t xml:space="preserve">Certificate of Designation of Series H Convertible Preferred Stock. (incorporated by reference to Exhibit 3.1 to the Form 8-K of Jaguar Health, Inc. filed July 3, 2023,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3.19</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3">
              <w:r>
                <w:rPr>
                  <w:rStyle w:val="InternetLink"/>
                </w:rPr>
                <w:t xml:space="preserve">Certificate of Designation of Series I Convertible Preferred Stock. (incorporated by reference to Exhibit 3.1 to the Form 8-K of Jaguar Health, Inc. filed October 5, 2023,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3.20</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4">
              <w:r>
                <w:rPr>
                  <w:rStyle w:val="InternetLink"/>
                </w:rPr>
                <w:t xml:space="preserve">Certificate of Designation of Series J Convertible Preferred Stock. (incorporated by reference to Exhibit 3.1 to the Form 8-K of Jaguar Health, Inc. filed March 1, 2024,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3.21</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5">
              <w:r>
                <w:rPr>
                  <w:rStyle w:val="InternetLink"/>
                </w:rPr>
                <w:t xml:space="preserve">Certificate of Eighth Amendment of the Third Amended and Restated Certificate of Incorporation of Jaguar Health, Inc. (incorporated by reference to Exhibit 3.1 to the Form 8-K of Jaguar Health, Inc. filed May 23, 2024,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3.22</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6">
              <w:r>
                <w:rPr>
                  <w:rStyle w:val="InternetLink"/>
                </w:rPr>
                <w:t xml:space="preserve">Certificate of Designation of Series K Junior Participating Preferred Stock. (incorporated by reference to Exhibit 3.1 to the Form 8-K of Jaguar Health, Inc. filed February 27, 2025,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3.23</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7">
              <w:r>
                <w:rPr>
                  <w:rStyle w:val="InternetLink"/>
                </w:rPr>
                <w:t xml:space="preserve">Certificate of Ninth Amendment of the Third Amended and Restated Certificate of Incorporation of Jaguar Health, Inc. (incorporated by reference to Exhibit 3.1 to the Form 8-K of Jaguar Health, Inc. filed March 18, 2025,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3.24</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8">
              <w:r>
                <w:rPr>
                  <w:rStyle w:val="InternetLink"/>
                </w:rPr>
                <w:t xml:space="preserve">Certificate of Designation of Preferences, Rights and Limitations of Series L Perpetual Preferred Stock of Jaguar Health, Inc. (incorporated by reference to Exhibit 3.1 to the Form 8-K filed May 15, 2025,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3.25</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9">
              <w:r>
                <w:rPr>
                  <w:rStyle w:val="InternetLink"/>
                </w:rPr>
                <w:t xml:space="preserve">Certificate of Designation of Preferences, Rights and Limitations of Series M Perpetual Preferred Stock of Jaguar Health, Inc. (incorporated by reference to Exhibit 3.1 to the Form 8-K filed June 30, 2025,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3.26</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0">
              <w:r>
                <w:rPr>
                  <w:rStyle w:val="InternetLink"/>
                </w:rPr>
                <w:t xml:space="preserve">Certificate of Designation of Preferences, Rights and Limitations of Series N Perpetual Preferred Stock of Jaguar Health, Inc. (incorporated by reference to Exhibit 3.1 to the Form 8-K filed September 11, 2025,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3.27</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1">
              <w:r>
                <w:rPr>
                  <w:rStyle w:val="InternetLink"/>
                </w:rPr>
                <w:t xml:space="preserve">Certificate of Designation of Preferences, Rights and Limitations of Series O Convertible Preferred Stock of Jaguar Health, Inc. (incorporated by reference to Exhibit 3.1 to the Form 8-K filed March 3, 2026,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3.28</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2">
              <w:r>
                <w:rPr>
                  <w:rStyle w:val="InternetLink"/>
                </w:rPr>
                <w:t xml:space="preserve">Certificate of Tenth Amendment of the Third Amended and Restated Certificate of Incorporation of Jaguar Health, Inc. (incorporated by reference to Exhibit 3.1 to the Form 8-K filed April 21, 2026,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3.29</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3">
              <w:r>
                <w:rPr>
                  <w:rStyle w:val="InternetLink"/>
                </w:rPr>
                <w:t xml:space="preserve">Certificate of Eleventh Amendment of the Third Amended and Restated Certificate of Incorporation of Jaguar Health, Inc. (incorporated by reference to Exhibit 3.1 to the Form 8-K filed April 27, 2026,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1"/>
        <w:gridCol w:w="763"/>
        <w:gridCol w:w="8591"/>
      </w:tblGrid>
      <w:tr>
        <w:trPr/>
        <w:tc>
          <w:tcPr>
            <w:tcW w:w="851" w:type="dxa"/>
            <w:tcBorders/>
            <w:vAlign w:val="center"/>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8591" w:type="dxa"/>
            <w:tcBorders/>
            <w:vAlign w:val="center"/>
          </w:tcPr>
          <w:p>
            <w:pPr>
              <w:pStyle w:val="TableContents"/>
              <w:bidi w:val="0"/>
              <w:spacing w:before="0" w:after="283"/>
              <w:jc w:val="left"/>
              <w:rPr>
                <w:sz w:val="4"/>
                <w:szCs w:val="4"/>
              </w:rPr>
            </w:pPr>
            <w:r>
              <w:rPr>
                <w:sz w:val="4"/>
                <w:szCs w:val="4"/>
              </w:rPr>
            </w:r>
          </w:p>
        </w:tc>
      </w:tr>
      <w:tr>
        <w:trPr/>
        <w:tc>
          <w:tcPr>
            <w:tcW w:w="85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763" w:type="dxa"/>
            <w:tcBorders/>
            <w:vAlign w:val="bottom"/>
          </w:tcPr>
          <w:p>
            <w:pPr>
              <w:pStyle w:val="TableContents"/>
              <w:bidi w:val="0"/>
              <w:spacing w:before="0" w:after="283"/>
              <w:jc w:val="left"/>
              <w:rPr/>
            </w:pPr>
            <w:r>
              <w:rPr/>
              <w:t>  </w:t>
            </w:r>
          </w:p>
        </w:tc>
        <w:tc>
          <w:tcPr>
            <w:tcW w:w="85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3.30</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4">
              <w:r>
                <w:rPr>
                  <w:rStyle w:val="InternetLink"/>
                </w:rPr>
                <w:t xml:space="preserve">Certificate of Designation of Preferences, Rights and Limitations of Series Q Perpetual Preferred Stock (incorporated by reference to Exhibit 3.1 to the Form 8-K filed May 19, 2026,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3.31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5">
              <w:r>
                <w:rPr>
                  <w:rStyle w:val="InternetLink"/>
                </w:rPr>
                <w:t xml:space="preserve">Certificate of Designation of Preferences, Rights and Limitations of Series P Non-Convertible Preferred Stock (incorporated by reference to Exhibit 3.1 to the Form 8-K filed June 11, 2026,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6">
              <w:r>
                <w:rPr>
                  <w:rStyle w:val="InternetLink"/>
                </w:rPr>
                <w:t xml:space="preserve">Specimen Non—Voting Common Stock Certificate of Jaguar Health, Inc. (incorporated by reference to Exhibit 4.1 to the Form 8—K of Jaguar Health, Inc. filed August 1, 2017,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4.2</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7">
              <w:r>
                <w:rPr>
                  <w:rStyle w:val="InternetLink"/>
                </w:rPr>
                <w:t xml:space="preserve">Common Stock Warrant, dated August  28, 2018, by and between Jaguar Health, Inc. and the holder named therein (incorporated by reference to Ex. 4.1 to the Current Report on Form 8—K filed on September 4, 2018).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4.3</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8">
              <w:r>
                <w:rPr>
                  <w:rStyle w:val="InternetLink"/>
                </w:rPr>
                <w:t xml:space="preserve">Common Stock Warrant, dated September  11, 2018, by and between Jaguar Health, Inc. and L2 Capital, LLC (incorporated by reference to Ex. 4.3 to the Current Report on Form 8—K filed on September 12, 2018).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4.4</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9">
              <w:r>
                <w:rPr>
                  <w:rStyle w:val="InternetLink"/>
                </w:rPr>
                <w:t xml:space="preserve">Common Stock Warrant, dated September  11, 2018, by and between Jaguar Health, Inc. and Charles Conte (incorporated by reference to Ex. 4.4 to the Current Report on Form 8—K filed on September 12, 2018).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4.5</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0">
              <w:r>
                <w:rPr>
                  <w:rStyle w:val="InternetLink"/>
                </w:rPr>
                <w:t xml:space="preserve">Form of Pre-Funded Warrant (incorporated by reference to Exhibit 4.6 to the Registration Statement on Form S—1 (No. 333—227292) filed with the Securities and Exchange Commission on October 1, 2018).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4.6</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1">
              <w:r>
                <w:rPr>
                  <w:rStyle w:val="InternetLink"/>
                </w:rPr>
                <w:t xml:space="preserve">Form of Common Stock Warrant (incorporated by reference to Exhibit 4.3 to the Form 8-K of Jaguar Health, Inc. filed March 22, 2019).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4.7</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2">
              <w:r>
                <w:rPr>
                  <w:rStyle w:val="InternetLink"/>
                </w:rPr>
                <w:t xml:space="preserve">Form of Placement Agent Warrant (incorporated by reference to Exhibit 4.1 to the Form 8-K/A of Jaguar Health, Inc. filed March 26, 2019).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4.8</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3">
              <w:r>
                <w:rPr>
                  <w:rStyle w:val="InternetLink"/>
                </w:rPr>
                <w:t xml:space="preserve">Form of LOC Common Stock Warrant (incorporated by reference to Exhibit 4.1 to the Form 8-K of Jaguar Health, Inc. filed April 4, 2019,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4.9</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4">
              <w:r>
                <w:rPr>
                  <w:rStyle w:val="InternetLink"/>
                </w:rPr>
                <w:t xml:space="preserve">Specimen Common Stock Certificate of Jaguar Health, Inc. (incorporated by reference to Exhibit  4.1 to the Form 8—K of Jaguar Health, Inc. filed June 1, 2018,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4.10</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5">
              <w:r>
                <w:rPr>
                  <w:rStyle w:val="InternetLink"/>
                </w:rPr>
                <w:t xml:space="preserve">Form of Series 1 Warrant (incorporated by reference to Exhibit 4.1 to the Form 8-K of Jaguar Health, Inc. filed July 23, 2019,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6">
              <w:r>
                <w:rPr>
                  <w:rStyle w:val="InternetLink"/>
                </w:rPr>
                <w:t xml:space="preserve">Form of Series 2 Warrant (incorporated by reference to Exhibit 4.2 to the Form 8-K of Jaguar Health, Inc. filed July 23, 2019,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4.12</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7">
              <w:r>
                <w:rPr>
                  <w:rStyle w:val="InternetLink"/>
                </w:rPr>
                <w:t xml:space="preserve">Promissory Note, dated October  1, 2019, between Napo Pharmaceuticals, Inc. and Michael Tempesta (incorporated by reference to Exhibit 4.1 to the Form 8-K of Jaguar Health, Inc. filed October  7, 2019,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4.13</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8">
              <w:r>
                <w:rPr>
                  <w:rStyle w:val="InternetLink"/>
                </w:rPr>
                <w:t xml:space="preserve">Form of Pre-Funded Common Stock Purchase Warrant (incorporated by reference to Exhibit 4.1 to the Form 8-K of Jaguar Health, Inc. filed November 14, 2019,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4.14</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9">
              <w:r>
                <w:rPr>
                  <w:rStyle w:val="InternetLink"/>
                </w:rPr>
                <w:t xml:space="preserve">Form of Common Stock Purchase Warrant (incorporated by reference to Exhibit 4.1 to the Form  8-K of Jaguar Health, Inc. filed December 26, 2019,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4.15</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0">
              <w:r>
                <w:rPr>
                  <w:rStyle w:val="InternetLink"/>
                </w:rPr>
                <w:t xml:space="preserve">Royalty Interest, dated March  4, 2020, by and between the Company and Iliad Research and Trading L.P. (incorporated by reference to Exhibit 4.1 to the Form 8-K of Jaguar Health, Inc. filed March 6, 2020,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1">
              <w:r>
                <w:rPr>
                  <w:rStyle w:val="InternetLink"/>
                </w:rPr>
                <w:t xml:space="preserve">Description of the Registrant’s Securities Registered Pursuant to Section  12 of the Securities Exchange Act of 1945, as amended (incorporated herein by reference to Exhibit 4.26 to the Annual Report on Form 10—K filed on April 3, 2020).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2">
              <w:r>
                <w:rPr>
                  <w:rStyle w:val="InternetLink"/>
                </w:rPr>
                <w:t xml:space="preserve">Form of Series 3 Common Stock Purchase Warrant (incorporated by reference to Exhibit 4.1 to the Form 8-K of Jaguar health, Inc. filed May 22, 2020).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3">
              <w:r>
                <w:rPr>
                  <w:rStyle w:val="InternetLink"/>
                </w:rPr>
                <w:t>Global Amendment, dated September  1, 2020, by and among Jaguar Health, Inc., Napo Pharmaceuticals, Inc. and Chicago Ventures, L.P. (incorporated by reference to Exhibit 4.1 to the Form 8-K of Jaguar health, Inc. filed September 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4">
              <w:r>
                <w:rPr>
                  <w:rStyle w:val="InternetLink"/>
                </w:rPr>
                <w:t xml:space="preserve">Royalty Interest, dated October  8, 2020, by and between Jaguar Health, Inc. and Iliad Research and Trading, L.P. (incorporated by reference to Exhibit 4.1 to the Form 8-K of Jaguar Health, Inc. filed October 9, 2020).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5">
              <w:r>
                <w:rPr>
                  <w:rStyle w:val="InternetLink"/>
                </w:rPr>
                <w:t xml:space="preserve">Form of Pre-Funded Common Stock Purchase Warrant (incorporated by reference to Exhibit 4.1 to the Form 8-K of Jaguar health, Inc. filed October 9, 2020).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6">
              <w:r>
                <w:rPr>
                  <w:rStyle w:val="InternetLink"/>
                </w:rPr>
                <w:t xml:space="preserve">Royalty Interest, dated December  22, 2020, by and between Jaguar Health, Inc. and Irving Park Capital, LLC (incorporated by reference to Exhibit 4.1 to the Form 8-K filed December 29, 2020,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7">
              <w:r>
                <w:rPr>
                  <w:rStyle w:val="InternetLink"/>
                </w:rPr>
                <w:t xml:space="preserve">Secured Promissory Note, dated January  19, 2021, by and among Jaguar Health, Inc., Napo Pharmaceuticals, Inc. and Streeterville Capital, LLC (incorporated by reference to Exhibit 4.1 to the Form 8-K filed January 22, 2021,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8">
              <w:r>
                <w:rPr>
                  <w:rStyle w:val="InternetLink"/>
                </w:rPr>
                <w:t>Common Stock Purchase Warrant, dated April  7, 2021, by and between Jaguar Health, Inc. and Oasis Capital, LLC (incorporated by reference to Exhibit 4.1 to the Form 8-K of Jaguar Health, Inc. filed April  8, 2021,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9">
              <w:r>
                <w:rPr>
                  <w:rStyle w:val="InternetLink"/>
                </w:rPr>
                <w:t xml:space="preserve">Global Amendment, dated April  14, 2022, by and between Jaguar Health, Inc. and Iliad Research and Trading, L.P. (incorporated by reference to Exhibit 4.1 to the Form 8-K of Jaguar Health, Inc. filed April 15, 2022,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0">
              <w:r>
                <w:rPr>
                  <w:rStyle w:val="InternetLink"/>
                </w:rPr>
                <w:t xml:space="preserve">Global Amendment, dated April  14, 2022, by and between Jaguar Health, Inc. and Uptown Capital, LLC (incorporated by reference to Exhibit 4.2 to the Form 8-K of Jaguar Health, Inc. filed April 15, 2022,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1">
              <w:r>
                <w:rPr>
                  <w:rStyle w:val="InternetLink"/>
                </w:rPr>
                <w:t xml:space="preserve">Global Amendment, dated April  14, 2022, by and between Jaguar Health, Inc. and Streeterville Capital, LLC (incorporated by reference to Exhibit 4.3 to the Form 8-K of Jaguar Health, Inc. filed April 15, 2022,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2">
              <w:r>
                <w:rPr>
                  <w:rStyle w:val="InternetLink"/>
                </w:rPr>
                <w:t xml:space="preserve">Global Amendment, dated April  14, 2022, by and among Jaguar Health, Inc., Napo Pharmaceuticals, Inc. and Streeterville Capital, LLC (incorporated by reference to Exhibit 4.4 to the Form 8-K of Jaguar Health, Inc. filed April  15, 2022,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3">
              <w:r>
                <w:rPr>
                  <w:rStyle w:val="InternetLink"/>
                </w:rPr>
                <w:t xml:space="preserve">Royalty Interest, dated August  24, 2022, by and between Jaguar Health, Inc. and Streeterville Capital, LLC. (incorporated by reference to Exhibit 4.1 to the Form 8-K of Jaguar Health, Inc. filed August 30, 2022,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4">
              <w:r>
                <w:rPr>
                  <w:rStyle w:val="InternetLink"/>
                </w:rPr>
                <w:t xml:space="preserve">Form of Common Stock Purchase Warrant (incorporated by reference to Exhibit 4.1 to the Form  8-K of Jaguar Health, Inc. filed May 9, 2023,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5">
              <w:r>
                <w:rPr>
                  <w:rStyle w:val="InternetLink"/>
                </w:rPr>
                <w:t xml:space="preserve">Global Amendment No. 2, dated September  29, 2023, by and between Jaguar Health, Inc. and Iliad Research and Trading, L.P. (incorporated by reference to Exhibit 4.1 to the Form 8-K of Jaguar Health, Inc. filed October 5, 2023,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6">
              <w:r>
                <w:rPr>
                  <w:rStyle w:val="InternetLink"/>
                </w:rPr>
                <w:t xml:space="preserve">Global Amendment No. 2, dated September  29, 2023, by and between Jaguar Health, Inc. and Uptown Capital, LLC (incorporated by reference to Exhibit 4.2 to the Form 8-K of Jaguar Health, Inc. filed October 5, 2023,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7">
              <w:r>
                <w:rPr>
                  <w:rStyle w:val="InternetLink"/>
                </w:rPr>
                <w:t>Global Amendment, dated September  29, 2023, by and between Jaguar Health, Inc. and Streeterville Capital, LLC (incorporated by reference to Exhibit 4.3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8">
              <w:r>
                <w:rPr>
                  <w:rStyle w:val="InternetLink"/>
                </w:rPr>
                <w:t xml:space="preserve">Global Amendment No. 2, dated September  29, 2023, by and between Jaguar Health, Inc. and Streeterville Capital, LLC (incorporated by reference to Exhibit 4.4 to the Form 8-K of Jaguar Health, Inc. filed October 5, 2023,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9">
              <w:r>
                <w:rPr>
                  <w:rStyle w:val="InternetLink"/>
                </w:rPr>
                <w:t xml:space="preserve">Form of Common Stock Purchase Warrant (incorporated by reference to Exhibit 4.5 to the Form  8-K of Jaguar Health, Inc. filed October 5, 2023,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0">
              <w:r>
                <w:rPr>
                  <w:rStyle w:val="InternetLink"/>
                </w:rPr>
                <w:t xml:space="preserve">Amendment to the Secured Promissory Note, dated January  29, 2025, by and among Jaguar Health, Inc., Napo Pharmaceuticals, Inc. and Streeterville Capital, LLC (incorporated by reference to Exhibit 4.1 to the Form 8-K filed February 4,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1">
              <w:r>
                <w:rPr>
                  <w:rStyle w:val="InternetLink"/>
                </w:rPr>
                <w:t xml:space="preserve">Note Amendment, dated February  13, 2025, by and among Jaguar Health, Inc., Napo Pharmaceuticals, Inc. and Streeterville Capital, LLC (incorporated by reference to Exhibit 4.1 to the Form 8-K filed February 20,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2">
              <w:r>
                <w:rPr>
                  <w:rStyle w:val="InternetLink"/>
                </w:rPr>
                <w:t xml:space="preserve">Rights Agreement, dated as of February  26, 2025, between Jaguar Health, Inc. and Equiniti Trust Company, LLC, as Rights Agent (incorporated by reference to Exhibit 4.1 to the Form 8-K filed February  27,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3">
              <w:r>
                <w:rPr>
                  <w:rStyle w:val="InternetLink"/>
                </w:rPr>
                <w:t xml:space="preserve">Form of Convertible Promissory Note (incorporated by reference to Exhibit 4.1 to the Form 8-K filed March 26,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4">
              <w:r>
                <w:rPr>
                  <w:rStyle w:val="InternetLink"/>
                </w:rPr>
                <w:t xml:space="preserve">Form of Common Stock Warrant (incorporated by reference to Exhibit 4.2 to the Form 8-K filed March 26,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5">
              <w:r>
                <w:rPr>
                  <w:rStyle w:val="InternetLink"/>
                </w:rPr>
                <w:t xml:space="preserve">Form of Placement Agent Warrant (incorporated by reference to Exhibit 4.3 to the Form 8-K filed March 26,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6">
              <w:r>
                <w:rPr>
                  <w:rStyle w:val="InternetLink"/>
                </w:rPr>
                <w:t xml:space="preserve">Form of Common Stock Purchase Warrant (incorporated by reference to Exhibit 4.1 to the Form  8-K filed May 22,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7">
              <w:r>
                <w:rPr>
                  <w:rStyle w:val="InternetLink"/>
                </w:rPr>
                <w:t xml:space="preserve">Form of Wainwright Warrant (incorporated by reference to Exhibit 4.2 to the Form 8-K filed May  22,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8">
              <w:r>
                <w:rPr>
                  <w:rStyle w:val="InternetLink"/>
                </w:rPr>
                <w:t xml:space="preserve">Form of Replacement Note (incorporated by reference to Exhibit 4.1 to the Form 8-K filed June  24,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9">
              <w:r>
                <w:rPr>
                  <w:rStyle w:val="InternetLink"/>
                </w:rPr>
                <w:t xml:space="preserve">Form of New Warrant (incorporated by reference to Exhibit 4.2 to the Form 8-K filed June  24,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0">
              <w:r>
                <w:rPr>
                  <w:rStyle w:val="InternetLink"/>
                </w:rPr>
                <w:t xml:space="preserve">Pre-Funded Warrant, dated September  28, 2025, by and between Jaguar Health, Inc. and Brown Stone Capital Limited (incorporated by reference to Exhibit 4.1 to the Form 8-K filed October 11,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1">
              <w:r>
                <w:rPr>
                  <w:rStyle w:val="InternetLink"/>
                </w:rPr>
                <w:t xml:space="preserve">Secured Promissory Note, dated November  12, 2025, issued by Jaguar Health, Inc. to Streeterville Capital, LLC (incorporated by reference to Exhibit 4.1 to the Form 8-K filed November 14,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2">
              <w:r>
                <w:rPr>
                  <w:rStyle w:val="InternetLink"/>
                </w:rPr>
                <w:t xml:space="preserve">Global Amendment dated November  17, 2025, by and between Jaguar Health, Inc. and Iliad Research and Trading, L.P. (incorporated by reference to Exhibit 4.1 to the Form 8-K filed November  19, 2025,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3">
              <w:r>
                <w:rPr>
                  <w:rStyle w:val="InternetLink"/>
                </w:rPr>
                <w:t xml:space="preserve">Global Amendment dated November  17, 2025, by and between Jaguar Health, Inc. and Uptown Capital, LLC (incorporated by reference to Exhibit 4.2 to the Form 8-K filed November 19, 2025,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4.49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14">
              <w:r>
                <w:rPr>
                  <w:rStyle w:val="InternetLink"/>
                </w:rPr>
                <w:t xml:space="preserve">Global Amendment dated November  17, 2025, by and between Jaguar Health, Inc. and Streeterville Capital, LLC (incorporated by reference to Exhibit 4.3 to the Form 8-K filed November 19, 2025,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4.50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15">
              <w:r>
                <w:rPr>
                  <w:rStyle w:val="InternetLink"/>
                </w:rPr>
                <w:t xml:space="preserve">Note Amendment dated November  17, 2025, by and between Jaguar Health, Inc. and Streeterville Capital, LLC (incorporated by reference to Exhibit 4.4 to the Form 8-K filed November 19, 2025,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4.51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16">
              <w:r>
                <w:rPr>
                  <w:rStyle w:val="InternetLink"/>
                </w:rPr>
                <w:t xml:space="preserve">First Pre-Funded Warrant, dated December 9, 2025 (incorporated by reference to Exhibit  4.51 to the Form 10-K filed April 7,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4.52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17">
              <w:r>
                <w:rPr>
                  <w:rStyle w:val="InternetLink"/>
                </w:rPr>
                <w:t xml:space="preserve">Second Pre-Funded Warrant, dated December 11, 2025 (incorporated by reference to Exhibit  4.52 to the Form 10-K filed April 7,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4.53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18">
              <w:r>
                <w:rPr>
                  <w:rStyle w:val="InternetLink"/>
                </w:rPr>
                <w:t xml:space="preserve">Form of Unsecured Promissory Note (incorporated by reference to Exhibit 4.1 to the Form 8-K/A filed January 12,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4.54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19">
              <w:r>
                <w:rPr>
                  <w:rStyle w:val="InternetLink"/>
                </w:rPr>
                <w:t xml:space="preserve">Form of Common Stock Warrant (incorporated by reference to Exhibit 4.2 to the Form 8-K/A filed January 12,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4.55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20">
              <w:r>
                <w:rPr>
                  <w:rStyle w:val="InternetLink"/>
                </w:rPr>
                <w:t xml:space="preserve">Form of the Pre-Funded Warrant (incorporated by reference to Exhibit 4.1 to the Form 8-K filed January 23,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4.56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21">
              <w:r>
                <w:rPr>
                  <w:rStyle w:val="InternetLink"/>
                </w:rPr>
                <w:t xml:space="preserve">Form of Pre-Funded Warrant (incorporated by reference to Exhibit 4.1 to the Form 8-K filed February 18,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4.57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22">
              <w:r>
                <w:rPr>
                  <w:rStyle w:val="InternetLink"/>
                </w:rPr>
                <w:t xml:space="preserve">Global Amendment No. 4 dated March  6, 2026, by and between Jaguar Health, Inc. and Uptown Capital, LLC (incorporated by reference to Exhibit 4.1 to the Form 8-K filed March 9,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4.58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23">
              <w:r>
                <w:rPr>
                  <w:rStyle w:val="InternetLink"/>
                </w:rPr>
                <w:t xml:space="preserve">Global Amendment No. 4 dated March  6, 2026, by and between Jaguar Health, Inc. and Streeterville Capital, LLC (incorporated by reference to Exhibit 4.2 to the Form 8-K filed March 9,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4.59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24">
              <w:r>
                <w:rPr>
                  <w:rStyle w:val="InternetLink"/>
                </w:rPr>
                <w:t xml:space="preserve">Amendment to the 2021 Note, dated March  6, 2026, by and among Jaguar Health, Inc., Napo Pharmaceuticals, Inc. and Streeterville Capital, LLC (incorporated by reference to Exhibit 4.3 to the Form 8-K filed March 9,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4.60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25">
              <w:r>
                <w:rPr>
                  <w:rStyle w:val="InternetLink"/>
                </w:rPr>
                <w:t xml:space="preserve">Amendment to the 2025 Note, dated March  6, 2026, by and between Jaguar Health, Inc. and Streeterville Capital, LLC (incorporated by reference to Exhibit 4.4 to the Form 8-K filed March 9,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4.61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26">
              <w:r>
                <w:rPr>
                  <w:rStyle w:val="InternetLink"/>
                </w:rPr>
                <w:t xml:space="preserve">Form of the Commencement Pre-Funded Warrant (incorporated by reference to Exhibit 4.1 to the Form 8-K filed June 11,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4.62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27">
              <w:r>
                <w:rPr>
                  <w:rStyle w:val="InternetLink"/>
                </w:rPr>
                <w:t xml:space="preserve">Global Amendment No. 5, dated June 17, 2026, by and between Jaguar Health, Inc. and Uptown Capital, LLC (incorporated by reference to Exhibit 4.1 to the Form 8-K filed June 18,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4.63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28">
              <w:r>
                <w:rPr>
                  <w:rStyle w:val="InternetLink"/>
                </w:rPr>
                <w:t xml:space="preserve">Global Amendment No. 5, dated June 17, 2026, by and between Jaguar Health, Inc. and Streeterville Capital, LLC (incorporated by reference to Exhibit 4.2 to the Form 8-K filed June 18,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4.64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29">
              <w:r>
                <w:rPr>
                  <w:rStyle w:val="InternetLink"/>
                </w:rPr>
                <w:t xml:space="preserve">Amendment to the 2021 Note, dated June 17, 2026, by and among Jaguar Health, Inc., Napo Pharmaceuticals, Inc. and Streeterville Capital, LLC (incorporated by reference to Exhibit 4.3 to the Form 8-K filed June 18, 2026,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5.1*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w:anchor="d117884dex51.htm">
              <w:r>
                <w:rPr>
                  <w:rStyle w:val="InternetLink"/>
                </w:rPr>
                <w:t xml:space="preserve">Opinion of Reed Smith LLP.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30">
              <w:r>
                <w:rPr>
                  <w:rStyle w:val="InternetLink"/>
                </w:rPr>
                <w:t>Form of Indemnification Agreement by and between Jaguar Health, Inc. and its directors and officers (incorporated by reference to Exhibit 10.1 to the Registration Statement on Form S—1 (No. 333—198383) filed with the Securities and Exchange Commission on August 27, 2014)</w:t>
              </w:r>
            </w:hyperlink>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2"/>
        <w:gridCol w:w="600"/>
        <w:gridCol w:w="8753"/>
      </w:tblGrid>
      <w:tr>
        <w:trPr/>
        <w:tc>
          <w:tcPr>
            <w:tcW w:w="852"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jc w:val="left"/>
              <w:rPr>
                <w:sz w:val="4"/>
                <w:szCs w:val="4"/>
              </w:rPr>
            </w:pPr>
            <w:r>
              <w:rPr>
                <w:sz w:val="4"/>
                <w:szCs w:val="4"/>
              </w:rPr>
            </w:r>
          </w:p>
        </w:tc>
      </w:tr>
      <w:tr>
        <w:trPr/>
        <w:tc>
          <w:tcPr>
            <w:tcW w:w="85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00" w:type="dxa"/>
            <w:tcBorders/>
            <w:vAlign w:val="bottom"/>
          </w:tcPr>
          <w:p>
            <w:pPr>
              <w:pStyle w:val="TableContents"/>
              <w:bidi w:val="0"/>
              <w:spacing w:before="0" w:after="283"/>
              <w:jc w:val="left"/>
              <w:rPr/>
            </w:pPr>
            <w:r>
              <w:rPr/>
              <w:t>  </w:t>
            </w:r>
          </w:p>
        </w:tc>
        <w:tc>
          <w:tcPr>
            <w:tcW w:w="87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31">
              <w:r>
                <w:rPr>
                  <w:rStyle w:val="InternetLink"/>
                </w:rPr>
                <w:t>Form of Notice of Grant of Stock Option and Stock Option Agreement under the 2014 Stock Incentive Plan (incorporated by reference to Exhibit 10.6 to the Registration Statement on Form S—1 (No. 333—198383) filed with the Securities and Exchange Commission on August 27, 2014)</w:t>
              </w:r>
            </w:hyperlink>
            <w:r>
              <w:rPr/>
              <w:t>.</w:t>
            </w:r>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32">
              <w:r>
                <w:rPr>
                  <w:rStyle w:val="InternetLink"/>
                </w:rPr>
                <w:t xml:space="preserve">Form of Notice of Grant of Restricted Stock and Restricted Stock Agreement under the 2014 Stock Incentive Plan (incorporated by reference to Exhibit 10.7 to the Registration Statement on Form S—1 (No. 333—198383) filed with the Securities and Exchange Commission on August 27, 2014).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10.4</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33">
              <w:r>
                <w:rPr>
                  <w:rStyle w:val="InternetLink"/>
                </w:rPr>
                <w:t xml:space="preserve">Form of Notice of Grant of Restricted Stock Units and Restricted Stock Unit Agreement under the 2014 Stock Incentive Plan (incorporated by reference to Exhibit 10.8 to the Registration Statement on Form S—1 (No. 333—198383) filed with the Securities and Exchange Commission on August 27, 2014).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10.5</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34">
              <w:r>
                <w:rPr>
                  <w:rStyle w:val="InternetLink"/>
                </w:rPr>
                <w:t xml:space="preserve">Offer Letter by and between Jaguar Health, Inc. and Lisa A. Conte, dated March  1, 2014 (incorporated by reference to Exhibit 10.9 to the Registration Statement on Form S—1 (No. 333—198383) filed with the Securities and Exchange Commission on August 27, 2014).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35">
              <w:r>
                <w:rPr>
                  <w:rStyle w:val="InternetLink"/>
                </w:rPr>
                <w:t xml:space="preserve">Offer Letter by and between Jaguar Health, Inc. and Steven R. King, Ph.D., dated February  28, 2014 (incorporated by reference to Exhibit 10.11 to the Registration Statement on Form S—1 (No. 333—198383) filed with the Securities and Exchange Commission on August 27, 2014).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36">
              <w:r>
                <w:rPr>
                  <w:rStyle w:val="InternetLink"/>
                </w:rPr>
                <w:t xml:space="preserve">Formulation Development and Manufacturing Agreement between Jaguar Health, Inc. and Patheon Pharmaceuticals Inc., dated October  8, 2015 (incorporated by reference to Exhibit 10.30 to the Registration Statement on Form S—1 (No. 333—208905) filed with the Securities and Exchange Commission on January 7, 2016).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37">
              <w:r>
                <w:rPr>
                  <w:rStyle w:val="InternetLink"/>
                </w:rPr>
                <w:t>Common Stock Warrant issued pursuant to the Letter Agreement, dated November  8, 2016, between Jaguar Health, Inc. and Serious Change II LP, which expires July 28, 2022 (incorporated herein by reference to Exhibit 10.2 to the Quarterly Report on Form 10—Q (No. 001—36714) filed on November 14, 2016).</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38">
              <w:r>
                <w:rPr>
                  <w:rStyle w:val="InternetLink"/>
                </w:rPr>
                <w:t xml:space="preserve">Distribution Agreement, dated December  9, 2016, by and between Jaguar Health, Inc. and Henry Schein, Inc. (incorporated herein by reference to Exhibit 10.41 to the Annual Report on Form 10—K filed on February 15, 2017).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39">
              <w:r>
                <w:rPr>
                  <w:rStyle w:val="InternetLink"/>
                </w:rPr>
                <w:t xml:space="preserve">Alliance Agreement, dated May  23, 2005, by and among AsiaPharm Investment Limited and its Affiliates, including Shandong Luye Pharmaceuticals Co. Ltd., and Napo Pharmaceuticals, Inc. (incorporated herein by reference to Exhibit 10.61 to the Registration Statement on Form S—4/A filed May 26, 2017 (No. 333—217364)).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40">
              <w:r>
                <w:rPr>
                  <w:rStyle w:val="InternetLink"/>
                </w:rPr>
                <w:t xml:space="preserve">Finder’s Agreement, dated April  9, 2010, by and among Luye Pharma Group Limited and its Affiliates, including Shandong Luye Pharmaceuticals Co. Ltd., and Napo Pharmaceuticals, Inc. (incorporated herein by reference to Exhibit 10.62 to the Registration Statement on Form S—4/A filed May 26, 2017 (No. 333—217364)).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41">
              <w:r>
                <w:rPr>
                  <w:rStyle w:val="InternetLink"/>
                </w:rPr>
                <w:t xml:space="preserve">License Agreement, dated February  28, 2007, by and between Insmed Incorporated and Napo Pharmaceuticals, Inc. (incorporated herein by reference to Exhibit 10.77 to the Registration Statement on Form S—4/A filed May 26, 2017 (No. 333—217364)).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42">
              <w:r>
                <w:rPr>
                  <w:rStyle w:val="InternetLink"/>
                </w:rPr>
                <w:t xml:space="preserve">Amendment, Waiver &amp; Consent, dated June  27, 2017, by and among Jaguar Health, Inc., Nantucket Investments Limited, and Napo Pharmaceuticals, Inc. (incorporated by reference to Ex. 10.83 of the Company’s Registration Statement on Form S—4 (Registration No.  333—217364) filed on July 5, 2017).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66"/>
        <w:gridCol w:w="583"/>
        <w:gridCol w:w="8756"/>
      </w:tblGrid>
      <w:tr>
        <w:trPr/>
        <w:tc>
          <w:tcPr>
            <w:tcW w:w="866" w:type="dxa"/>
            <w:tcBorders/>
            <w:vAlign w:val="center"/>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75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583" w:type="dxa"/>
            <w:tcBorders/>
            <w:vAlign w:val="bottom"/>
          </w:tcPr>
          <w:p>
            <w:pPr>
              <w:pStyle w:val="TableContents"/>
              <w:bidi w:val="0"/>
              <w:spacing w:before="0" w:after="283"/>
              <w:jc w:val="left"/>
              <w:rPr/>
            </w:pPr>
            <w:r>
              <w:rPr/>
              <w:t>  </w:t>
            </w:r>
          </w:p>
        </w:tc>
        <w:tc>
          <w:tcPr>
            <w:tcW w:w="87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10.14</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43">
              <w:r>
                <w:rPr>
                  <w:rStyle w:val="InternetLink"/>
                </w:rPr>
                <w:t xml:space="preserve">Termination, Asset Transfer and Transition Agreement, dated September  22, 2017, by and between Napo Pharmaceuticals, Inc. and Alivus Pharmaceuticals, Ltd. (incorporated by reference to Ex. 10.8 to the Quarterly Report on Form 10—Q filed on November 20, 2017) </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10.15</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44">
              <w:r>
                <w:rPr>
                  <w:rStyle w:val="InternetLink"/>
                </w:rPr>
                <w:t xml:space="preserve">Registration Rights Agreement, dated March  23, 2018, by and between Jaguar Health, Inc. and Sagard Capital Partners, L.P. (incorporated by reference to Ex. 10.2 to the Current Report on Form 8—K filed on March 27, 2018). </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10.16</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45">
              <w:r>
                <w:rPr>
                  <w:rStyle w:val="InternetLink"/>
                </w:rPr>
                <w:t xml:space="preserve">Registration Rights Agreement, dated September  11, 2018, by and between Jaguar Health, Inc. and L2 Capital, LLC (incorporated by reference to Ex. 10.3 to the Current Report on Form 8—K filed on September 12, 2018). </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10.17</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46">
              <w:r>
                <w:rPr>
                  <w:rStyle w:val="InternetLink"/>
                </w:rPr>
                <w:t xml:space="preserve">Registration Rights Agreement, dated September  11, 2018, by and between Jaguar Health, Inc. and Charles Conte (incorporated by reference to Ex. 10.4 to the Current Report on Form 8—K filed on September 12, 2018). </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10.18</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47">
              <w:r>
                <w:rPr>
                  <w:rStyle w:val="InternetLink"/>
                </w:rPr>
                <w:t xml:space="preserve">Form of Registration Rights Agreement (incorporated by reference to Exhibit 10.2 to the Form  8-K of Jaguar Health, Inc. filed March 22, 2019). </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10.19</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48">
              <w:r>
                <w:rPr>
                  <w:rStyle w:val="InternetLink"/>
                </w:rPr>
                <w:t>Letter of Credit Cancellation &amp; Warrant Issuance Agreement, dated March  29, 2019, by and between Jaguar Health, Inc. and the letter of credit beneficiary named therein (incorporated by reference to Exhibit 10.1 to the Form 8-K of Jaguar Health, Inc. filed April 4, 2019).</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10.20</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49">
              <w:r>
                <w:rPr>
                  <w:rStyle w:val="InternetLink"/>
                </w:rPr>
                <w:t xml:space="preserve">Amendment No. 1 to Registration Rights Agreement, dated May  30, 2019, by and between Jaguar Health, Inc. and Sagard Capital Partners, L.P. (incorporated by reference to Exhibit 10.120 to the Registration Statement on Form S-1 (No. 333-233989) filed with the Securities and Exchange Commission on September 27, 2019). </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10.21</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50">
              <w:r>
                <w:rPr>
                  <w:rStyle w:val="InternetLink"/>
                </w:rPr>
                <w:t>Form of Amendment Agreement (incorporated by reference to Exhibit 10.1 to the Form 8-K of Jaguar Health, Inc. filed July 5, 2019, File No. 001-36714).</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10.22#</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51">
              <w:r>
                <w:rPr>
                  <w:rStyle w:val="InternetLink"/>
                </w:rPr>
                <w:t xml:space="preserve">Master Services Agreement, dated June  24, 2019, by and among Napo Pharmaceuticals, Inc., Integrium, LLC, and POC Capital, LLC (incorporated by reference to Exhibit 10.24 to the Form 10-K of Jaguar Health, Inc. filed on March  31, 2021, File No. 001-36714). </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10.23</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52">
              <w:r>
                <w:rPr>
                  <w:rStyle w:val="InternetLink"/>
                </w:rPr>
                <w:t xml:space="preserve">Form of Exchange Agreement, between Jaguar Health, Inc. and Chicago Venture Partners, L.P. (incorporated by reference to Exhibit 10.6 to the Form 10-Q of Jaguar Health, Inc. filed on August 14, 2019, File No. 001-36714). </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10.24</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53">
              <w:r>
                <w:rPr>
                  <w:rStyle w:val="InternetLink"/>
                </w:rPr>
                <w:t>Form of Warrant Agency Agreement between Jaguar Health, Inc. and American Stock Transfer  &amp; Trust Company, LLC (incorporated by reference to Exhibit 10.117 to the Form S-1/A of Jaguar Health, Inc. filed on July 15, 2019, File No. 333-231399).</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10.25</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54">
              <w:r>
                <w:rPr>
                  <w:rStyle w:val="InternetLink"/>
                </w:rPr>
                <w:t xml:space="preserve">License Termination and Settlement Termination Agreement, dated October  1, 2019, by and among Jaguar Health, Inc., Napo Pharmaceuticals, Inc. and Michael Tempesta (incorporated by reference to Exhibit 10.1 to the Form 8-K of Jaguar Health, Inc. filed October 7, 2019, File No. 001-36714). </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10.26#</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55">
              <w:r>
                <w:rPr>
                  <w:rStyle w:val="InternetLink"/>
                </w:rPr>
                <w:t xml:space="preserve">Securities Purchase Agreement, dated November  13, 2019, by and between Jaguar Health, Inc. and the purchasers named therein (incorporated by reference to Exhibit 10.1 to the Form 8-K of Jaguar Health, Inc. filed November 14, 2019, File No. 001-36714). </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10.27</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56">
              <w:r>
                <w:rPr>
                  <w:rStyle w:val="InternetLink"/>
                </w:rPr>
                <w:t xml:space="preserve">Securities Purchase Agreement, dated December  20, 2019, by and between Jaguar Health, Inc. and the investors named therein (incorporated by reference to Exhibit 10.1 to the Form 8-K of Jaguar Health, Inc. filed December 26, 2019, File No. 001-36714). </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10.28</w:t>
            </w:r>
          </w:p>
        </w:tc>
        <w:tc>
          <w:tcPr>
            <w:tcW w:w="583" w:type="dxa"/>
            <w:tcBorders/>
            <w:vAlign w:val="bottom"/>
          </w:tcPr>
          <w:p>
            <w:pPr>
              <w:pStyle w:val="TableContents"/>
              <w:bidi w:val="0"/>
              <w:spacing w:before="0" w:after="283"/>
              <w:jc w:val="left"/>
              <w:rPr/>
            </w:pPr>
            <w:r>
              <w:rPr/>
              <w:t>  </w:t>
            </w:r>
          </w:p>
        </w:tc>
        <w:tc>
          <w:tcPr>
            <w:tcW w:w="8756" w:type="dxa"/>
            <w:tcBorders/>
          </w:tcPr>
          <w:p>
            <w:pPr>
              <w:pStyle w:val="TableContents"/>
              <w:bidi w:val="0"/>
              <w:spacing w:before="0" w:after="283"/>
              <w:jc w:val="left"/>
              <w:rPr/>
            </w:pPr>
            <w:hyperlink r:id="rId157">
              <w:r>
                <w:rPr>
                  <w:rStyle w:val="InternetLink"/>
                </w:rPr>
                <w:t xml:space="preserve">Form of Warrant Exercise Agreement by and between Jaguar Health, Inc. and the Holder named therein (incorporated by reference to Exhibit 10.1 to the Form 8-K filed February 28, 2020,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2"/>
        <w:gridCol w:w="600"/>
        <w:gridCol w:w="8753"/>
      </w:tblGrid>
      <w:tr>
        <w:trPr/>
        <w:tc>
          <w:tcPr>
            <w:tcW w:w="852"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jc w:val="left"/>
              <w:rPr>
                <w:sz w:val="4"/>
                <w:szCs w:val="4"/>
              </w:rPr>
            </w:pPr>
            <w:r>
              <w:rPr>
                <w:sz w:val="4"/>
                <w:szCs w:val="4"/>
              </w:rPr>
            </w:r>
          </w:p>
        </w:tc>
      </w:tr>
      <w:tr>
        <w:trPr/>
        <w:tc>
          <w:tcPr>
            <w:tcW w:w="85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00" w:type="dxa"/>
            <w:tcBorders/>
            <w:vAlign w:val="bottom"/>
          </w:tcPr>
          <w:p>
            <w:pPr>
              <w:pStyle w:val="TableContents"/>
              <w:bidi w:val="0"/>
              <w:spacing w:before="0" w:after="283"/>
              <w:jc w:val="left"/>
              <w:rPr/>
            </w:pPr>
            <w:r>
              <w:rPr/>
              <w:t>  </w:t>
            </w:r>
          </w:p>
        </w:tc>
        <w:tc>
          <w:tcPr>
            <w:tcW w:w="87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10.29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58">
              <w:r>
                <w:rPr>
                  <w:rStyle w:val="InternetLink"/>
                </w:rPr>
                <w:t xml:space="preserve">Securities Purchase Agreement, dated March  23, 2020, by and between Jaguar Health, Inc. and the investors named therein (incorporated by reference to Exhibit 10.1 to the Form 8-K filed March 26,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10.30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59">
              <w:r>
                <w:rPr>
                  <w:rStyle w:val="InternetLink"/>
                </w:rPr>
                <w:t xml:space="preserve">Equity Purchase Agreement, dated March  24, 2020, by and between Jaguar Health, Inc. and Oasis Capital, LLC (incorporated by reference to Exhibit 10.4 to the Form 8-K filed March 26,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10.31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60">
              <w:r>
                <w:rPr>
                  <w:rStyle w:val="InternetLink"/>
                </w:rPr>
                <w:t xml:space="preserve">Registration Rights Agreement, dated March  24, 2020, by and between Jaguar Health, Inc. and Oasis Capital, LLC (incorporated by reference to Exhibit 10.5 to the Form 8-K filed March 26,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10.32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61">
              <w:r>
                <w:rPr>
                  <w:rStyle w:val="InternetLink"/>
                </w:rPr>
                <w:t xml:space="preserve">Jaguar Health, Inc. 2014 Stock Incentive Plan as amended and restated effective October  1, 2019 (incorporated by reference to Exhibit 10.101 to the Form 10-K of Jaguar Health, Inc. filed April 3, 2020, File No. 001 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10.33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62">
              <w:r>
                <w:rPr>
                  <w:rStyle w:val="InternetLink"/>
                </w:rPr>
                <w:t xml:space="preserve">Purchase Agreement, dated April  15, 2020, by and between Napo Pharmaceuticals, Inc. and Atlas Sciences, LLC (incorporated by reference to Exhibit 10.1 to the Form 8-K filed April 16,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10.34</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63">
              <w:r>
                <w:rPr>
                  <w:rStyle w:val="InternetLink"/>
                </w:rPr>
                <w:t xml:space="preserve">License Agreement, dated April  15, 2020, by and between Jaguar Health, Inc. and Atlas Sciences, LLC (incorporated by reference to Exhibit 10.2 to the Form 8-K filed April 16,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10.35</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64">
              <w:r>
                <w:rPr>
                  <w:rStyle w:val="InternetLink"/>
                </w:rPr>
                <w:t xml:space="preserve">Purchase Agreement, dated May  12, 2020, by and among Jaguar Health, Inc., Napo Pharmaceuticals, Inc. and Oasis Capital, LLC (incorporated by reference to Exhibit 10,1 to the Form 8-K filed May 21,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10.36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65">
              <w:r>
                <w:rPr>
                  <w:rStyle w:val="InternetLink"/>
                </w:rPr>
                <w:t xml:space="preserve">Assignment Agreement, dated May  12, 2020, by and between Napo Pharmaceuticals, Inc. and Oasis Capital, LLC (incorporated by reference to Exhibit 10.2 to the Form 8-K filed May 21,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10.37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66">
              <w:r>
                <w:rPr>
                  <w:rStyle w:val="InternetLink"/>
                </w:rPr>
                <w:t xml:space="preserve">Jaguar Health, Inc. New Employee Inducement Award Plan (incorporated by reference to Exhibit 10.1 to the Form 8-K filed June 19,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10.38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67">
              <w:r>
                <w:rPr>
                  <w:rStyle w:val="InternetLink"/>
                </w:rPr>
                <w:t xml:space="preserve">Form of Notice of Grant of Stock Option and Stock Option Agreement under Jaguar Health, Inc. New Employee Inducement Award Plan (incorporated by reference to Exhibit 10.2 to the Form 8-K filed June 19,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10.39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68">
              <w:r>
                <w:rPr>
                  <w:rStyle w:val="InternetLink"/>
                </w:rPr>
                <w:t xml:space="preserve">Form of Notice of Grant of Restricted Stock Units and Restricted Stock Unit Agreement under the Jaguar Health, Inc. New Employee Inducement Award Plan (incorporated by reference to Exhibit 10.3 to the Form 8-K filed June 19,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10.40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69">
              <w:r>
                <w:rPr>
                  <w:rStyle w:val="InternetLink"/>
                </w:rPr>
                <w:t xml:space="preserve">Securities Purchase Agreement, dated March  4, 2020, by and between Jaguar Health, Inc. and Iliad Research and Trading, L.P. (incorporated by reference to Exhibit 10.1 to the Form 8-K filed March  6,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10.41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70">
              <w:r>
                <w:rPr>
                  <w:rStyle w:val="InternetLink"/>
                </w:rPr>
                <w:t xml:space="preserve">First Amendment to Royalty Interest Purchase Agreement and Related Documents, dated July  10, 2020, between Jaguar Health, Inc. and Iliad Research and Trading, L.P. (incorporated by reference to Exhibit 10.1 to the Form 8-K filed July 14,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10.42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71">
              <w:r>
                <w:rPr>
                  <w:rStyle w:val="InternetLink"/>
                </w:rPr>
                <w:t xml:space="preserve">Form of Severance and Change of Control Agreement (incorporated by reference to Exhibit 10.11 to the Form 10-Q filed August 13,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10.43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72">
              <w:r>
                <w:rPr>
                  <w:rStyle w:val="InternetLink"/>
                </w:rPr>
                <w:t xml:space="preserve">First Amendment to Purchase Agreement, dated June  26, 2020, by and among Jaguar Health, Inc., Napo Pharmaceuticals, Inc. and Oasis Capital, LLC (incorporated by reference to Exhibit 10.12 to the Form 10-Q filed August 13, 2020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2"/>
        <w:gridCol w:w="600"/>
        <w:gridCol w:w="8753"/>
      </w:tblGrid>
      <w:tr>
        <w:trPr/>
        <w:tc>
          <w:tcPr>
            <w:tcW w:w="852"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jc w:val="left"/>
              <w:rPr>
                <w:sz w:val="4"/>
                <w:szCs w:val="4"/>
              </w:rPr>
            </w:pPr>
            <w:r>
              <w:rPr>
                <w:sz w:val="4"/>
                <w:szCs w:val="4"/>
              </w:rPr>
            </w:r>
          </w:p>
        </w:tc>
      </w:tr>
      <w:tr>
        <w:trPr/>
        <w:tc>
          <w:tcPr>
            <w:tcW w:w="85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00" w:type="dxa"/>
            <w:tcBorders/>
            <w:vAlign w:val="bottom"/>
          </w:tcPr>
          <w:p>
            <w:pPr>
              <w:pStyle w:val="TableContents"/>
              <w:bidi w:val="0"/>
              <w:spacing w:before="0" w:after="283"/>
              <w:jc w:val="left"/>
              <w:rPr/>
            </w:pPr>
            <w:r>
              <w:rPr/>
              <w:t>  </w:t>
            </w:r>
          </w:p>
        </w:tc>
        <w:tc>
          <w:tcPr>
            <w:tcW w:w="87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10.44</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73">
              <w:r>
                <w:rPr>
                  <w:rStyle w:val="InternetLink"/>
                </w:rPr>
                <w:t xml:space="preserve">First Amendment to Assignment Agreement, dated June  26, 2020, by and between Napo Pharmaceuticals, Inc. and Oasis Capital, LLC (incorporated by reference to Exhibit 10.13 to the Form 10-Q filed August 13,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10.45</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74">
              <w:r>
                <w:rPr>
                  <w:rStyle w:val="InternetLink"/>
                </w:rPr>
                <w:t xml:space="preserve">Exchange Agreement, dated September  1, 2020, by and between Jaguar Health, Inc. and Iliad Research and Trading, L.P. (incorporated by reference to Exhibit 10.1 to the Form 8-K filed September  2,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10.46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75">
              <w:r>
                <w:rPr>
                  <w:rStyle w:val="InternetLink"/>
                </w:rPr>
                <w:t xml:space="preserve">Stock Plan Agreement for Payment of Consulting Services, dated September  1, 2020, by and among Jaguar Health, Inc., Sagard Capital Partners Management Corp. and Sagard Capital Partners, L.P. (incorporated by reference to Exhibit 10.2 to the Form 8-K filed September  2,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10.47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76">
              <w:r>
                <w:rPr>
                  <w:rStyle w:val="InternetLink"/>
                </w:rPr>
                <w:t xml:space="preserve">Stock Plan Agreement, dated October  6, 2020, by and between Jaguar Health, Inc. and PoC Capital, LLC (incorporated by reference to Exhibit 10.1 to the Form 8-K filed October 7,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10.48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77">
              <w:r>
                <w:rPr>
                  <w:rStyle w:val="InternetLink"/>
                </w:rPr>
                <w:t xml:space="preserve">Fee Settlement Agreement dated October  7, 2020, by and between Jaguar Health, Inc. and Atlas Sciences, LLC (incorporated by reference to Exhibit 10.1 to the Form 8-K filed October 9,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10.49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78">
              <w:r>
                <w:rPr>
                  <w:rStyle w:val="InternetLink"/>
                </w:rPr>
                <w:t xml:space="preserve">Royalty Interest Purchase Agreement, dated October  8, 2020, by and between Jaguar Health, Inc. and Iliad Research and Trading, L.P. (incorporated by reference to Exhibit 10.1 to the Form 8-K filed October  9,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10.50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79">
              <w:r>
                <w:rPr>
                  <w:rStyle w:val="InternetLink"/>
                </w:rPr>
                <w:t xml:space="preserve">Exchange Agreement, dated October  8, 2020, by and between Jaguar Health, Inc. and Iliad Research and Trading, L.P. (incorporated by reference to Exhibit 10.2 to the Form 8-K filed October  9,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10.51#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80">
              <w:r>
                <w:rPr>
                  <w:rStyle w:val="InternetLink"/>
                </w:rPr>
                <w:t xml:space="preserve">Office Sublease Agreement, dated August  31, 2020, by and between Jaguar Health, Inc. and Peacock Construction, Inc. (incorporated by reference to Exhibit 10.4 to the Form 10-Q filed November  16,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10.52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81">
              <w:r>
                <w:rPr>
                  <w:rStyle w:val="InternetLink"/>
                </w:rPr>
                <w:t xml:space="preserve">Consent to Sublease Agreement, dated August  31, 2020, by and among M&amp;E, LLC, Jaguar Health, Inc. and Peacock Construction, Inc. (incorporated by reference to Exhibit 10.5 to the Form 10-Q filed November 16,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10.53#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82">
              <w:r>
                <w:rPr>
                  <w:rStyle w:val="InternetLink"/>
                </w:rPr>
                <w:t xml:space="preserve">Manufacturing and Supply Agreement, dated September  3, 2020, by and between Alivus Life Sciences Limited and Napo Pharmaceuticals, Inc. (incorporated by reference to Exhibit 10.6 to the Form 10-Q filed November  16,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10.54</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83">
              <w:r>
                <w:rPr>
                  <w:rStyle w:val="InternetLink"/>
                </w:rPr>
                <w:t xml:space="preserve">Securities Purchase Agreement, dated December  22, 2020, by and between Jaguar Health, Inc. and Irving Park Capital, LLC (incorporated by reference to Exhibit 10.1 to the Form 8-K filed December 29, 2020,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10.55</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84">
              <w:r>
                <w:rPr>
                  <w:rStyle w:val="InternetLink"/>
                </w:rPr>
                <w:t xml:space="preserve">Note Purchase Agreement, dated January  19, 2021, by and among Jaguar Health, Inc., Napo Pharmaceuticals, Inc. and Streeterville Capital, LLC (incorporated by reference to Exhibit 10.1 to the Form 8-K filed January 22, 2021,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10.56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85">
              <w:r>
                <w:rPr>
                  <w:rStyle w:val="InternetLink"/>
                </w:rPr>
                <w:t xml:space="preserve">Security Agreement, dated January  19, 2021, by and between Napo Pharmaceuticals, Inc. and Streeterville Capital, LLC (incorporated by reference to Exhibit 10.2 to the Form 8-K filed January  22, 2021,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10.57#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86">
              <w:r>
                <w:rPr>
                  <w:rStyle w:val="InternetLink"/>
                </w:rPr>
                <w:t xml:space="preserve">Master Services Agreement, dated October  5, 2020, by and between Napo Pharmaceuticals, Inc. and Integrium, LLC (incorporated by reference to Exhibit 10.67 to the Form 10-K filed March 31, 2021,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10.58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187">
              <w:r>
                <w:rPr>
                  <w:rStyle w:val="InternetLink"/>
                </w:rPr>
                <w:t xml:space="preserve">Form of Securities Purchase Agreement (incorporated by reference to Exhibit 10.1 to the Form  8-K of Jaguar Health, Inc. filed January 14, 2021,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5"/>
        <w:gridCol w:w="599"/>
        <w:gridCol w:w="8751"/>
      </w:tblGrid>
      <w:tr>
        <w:trPr/>
        <w:tc>
          <w:tcPr>
            <w:tcW w:w="855"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8751" w:type="dxa"/>
            <w:tcBorders/>
            <w:vAlign w:val="center"/>
          </w:tcPr>
          <w:p>
            <w:pPr>
              <w:pStyle w:val="TableContents"/>
              <w:bidi w:val="0"/>
              <w:spacing w:before="0" w:after="283"/>
              <w:jc w:val="left"/>
              <w:rPr>
                <w:sz w:val="4"/>
                <w:szCs w:val="4"/>
              </w:rPr>
            </w:pPr>
            <w:r>
              <w:rPr>
                <w:sz w:val="4"/>
                <w:szCs w:val="4"/>
              </w:rPr>
            </w:r>
          </w:p>
        </w:tc>
      </w:tr>
      <w:tr>
        <w:trPr/>
        <w:tc>
          <w:tcPr>
            <w:tcW w:w="85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599" w:type="dxa"/>
            <w:tcBorders/>
            <w:vAlign w:val="bottom"/>
          </w:tcPr>
          <w:p>
            <w:pPr>
              <w:pStyle w:val="TableContents"/>
              <w:bidi w:val="0"/>
              <w:spacing w:before="0" w:after="283"/>
              <w:jc w:val="left"/>
              <w:rPr/>
            </w:pPr>
            <w:r>
              <w:rPr/>
              <w:t>  </w:t>
            </w:r>
          </w:p>
        </w:tc>
        <w:tc>
          <w:tcPr>
            <w:tcW w:w="87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10.59#</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88">
              <w:r>
                <w:rPr>
                  <w:rStyle w:val="InternetLink"/>
                </w:rPr>
                <w:t xml:space="preserve">Office Lease Agreement, dated March 25, 2021, by and between Jaguar Health, Inc. and M  &amp; E LLC (incorporated by reference to Exhibit 10.1 to the Form 8-K of Jaguar Health, Inc. filed April 8, 2021,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10.60</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89">
              <w:r>
                <w:rPr>
                  <w:rStyle w:val="InternetLink"/>
                </w:rPr>
                <w:t xml:space="preserve">First Amendment to the Equity Purchase Agreement, dated April  7, 2021, by and between Jaguar Health, Inc. and Oasis Capital, LLC (incorporated by reference to Exhibit 10.2 to the Form 8-K of Jaguar Health, Inc. filed April  8, 2021,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10.61</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90">
              <w:r>
                <w:rPr>
                  <w:rStyle w:val="InternetLink"/>
                </w:rPr>
                <w:t xml:space="preserve">Registration Rights Agreement, dated April  7, 2021, by and between Jaguar Health, Inc. and Oasis Capital, LLC (incorporated by reference to Exhibit 10.3 to the Form 8-K of Jaguar Health, Inc. filed April  8, 2021,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10.62</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91">
              <w:r>
                <w:rPr>
                  <w:rStyle w:val="InternetLink"/>
                </w:rPr>
                <w:t>Form of Securities Purchase Agreement, dated April 29, 2021 (incorporated by reference to Exhibit 10.1 to the Form 8-K of Jaguar Health, Inc. filed April 30, 2021,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10.63#</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92">
              <w:r>
                <w:rPr>
                  <w:rStyle w:val="InternetLink"/>
                </w:rPr>
                <w:t xml:space="preserve">Subscription Agreement, dated June  1, 2021, by and among Dragon SPAC S.p.A., Napo Pharmaceuticals, Inc. and Joshua Mailman (incorporated by reference to Exhibit 10.1 to the Form 8-K of Jaguar Health, Inc. filed June 4, 2021,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10.64#</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93">
              <w:r>
                <w:rPr>
                  <w:rStyle w:val="InternetLink"/>
                </w:rPr>
                <w:t xml:space="preserve">License Agreement, dated August  18, 2021, by and between Napo Pharmaceuticals, Inc. and Napo EU S.p.A. (incorporated by reference to Exhibit 10.1 to the Form 8-K of Jaguar Health, Inc. filed August 24, 2021,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10.65</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94">
              <w:r>
                <w:rPr>
                  <w:rStyle w:val="InternetLink"/>
                </w:rPr>
                <w:t xml:space="preserve">Securities Purchase Agreement, dated September  13, 2021, by and between Jaguar Health, Inc. and the investors named therein (incorporated by reference to Exhibit 10.1 to the Form 8-K of Jaguar Health, Inc. filed September 17, 2021,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10.66</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95">
              <w:r>
                <w:rPr>
                  <w:rStyle w:val="InternetLink"/>
                </w:rPr>
                <w:t>At The Market Offering Agreement, dated December 10, 2021, by and between Jaguar Health, Inc. and Ladenburg Thalmann  &amp; Co. Inc. (incorporated by reference to Exhibit 10.1 to the Form 8-K of Jaguar Health, Inc. filed December 10, 2021,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10.67</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96">
              <w:r>
                <w:rPr>
                  <w:rStyle w:val="InternetLink"/>
                </w:rPr>
                <w:t xml:space="preserve">First Amendment to the At the Market Offering Agreement, dated February  2, 2022, by and between Jaguar Health, Inc. and Ladenburg Thalmann &amp; Co. Inc. (incorporated by reference to Exhibit 10.1 to the Form 8-K of Jaguar Health, Inc. filed February 2, 2022,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10.68</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97">
              <w:r>
                <w:rPr>
                  <w:rStyle w:val="InternetLink"/>
                </w:rPr>
                <w:t xml:space="preserve">First Amendment to the Jaguar Health, Inc. New Employee Inducement Award Plan (incorporated by reference to Exhibit 10.1 to the Form 8-K of Jaguar Health, Inc. filed April 15, 2022,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10.69</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98">
              <w:r>
                <w:rPr>
                  <w:rStyle w:val="InternetLink"/>
                </w:rPr>
                <w:t xml:space="preserve">First Amendment to the Jaguar Health, Inc. New Employee Inducement Award Plan (incorporated by reference to Exhibit 10.1 to the Form 8-K of Jaguar Health, Inc. filed April 15, 2022,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10.70#</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99">
              <w:r>
                <w:rPr>
                  <w:rStyle w:val="InternetLink"/>
                </w:rPr>
                <w:t xml:space="preserve">Manufacturing Services Agreement, dated June  10, 2022, by and between Napo Pharmaceuticals, Inc. and Patheon Pharmaceuticals Inc. (incorporated by reference to Exhibit 10.1 to the Form 8-K/A of Jaguar Health, Inc. filed August 24, 2022,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10.71</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00">
              <w:r>
                <w:rPr>
                  <w:rStyle w:val="InternetLink"/>
                </w:rPr>
                <w:t xml:space="preserve">License and Services Agreement, dated June  29, 2022, by and among Jaguar Health, Inc., SynWorld Technologies Corporation, C&amp;E Telecom, LTD and Tao Wang (incorporated by reference to Exhibit 10.1 to the Form 8-K of Jaguar Health, Inc. filed June  29, 2022,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10.72#</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01">
              <w:r>
                <w:rPr>
                  <w:rStyle w:val="InternetLink"/>
                </w:rPr>
                <w:t xml:space="preserve">Amended and Restated License Agreement, dated July  19, 2022, by and between Napo Pharmaceuticals, Inc. and Napo Therapeutics S.p.A. (incorporated by reference to Exhibit 10.1 to the Form 8-K of Jaguar Health, Inc. filed July 20, 2022,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10.73</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02">
              <w:r>
                <w:rPr>
                  <w:rStyle w:val="InternetLink"/>
                </w:rPr>
                <w:t xml:space="preserve">Securities Purchase Agreement, dated August  18, 2022, by and between Jaguar Health, Inc. and SynWorld Technologies Corporation (incorporated by reference to Exhibit 10.1 to the Form 8-K of Jaguar Health, Inc. filed August 23, 2022,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03">
              <w:r>
                <w:rPr>
                  <w:rStyle w:val="InternetLink"/>
                </w:rPr>
                <w:t xml:space="preserve">First Amendment to the License and Services Agreement, dated August  18, 2022, by and between Jaguar Health, Inc. and SynWorld Technologies Corporation (incorporated by reference to Exhibit 10.2 to the Form 8-K of Jaguar Health, Inc. filed August 23, 2022,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04">
              <w:r>
                <w:rPr>
                  <w:rStyle w:val="InternetLink"/>
                </w:rPr>
                <w:t xml:space="preserve">Royalty Interest Purchase Agreement, dated August  24, 2022, by and between Jaguar Health, Inc. and Streeterville Capital, LLC (incorporated by reference to Exhibit 10.1 to the Form 8-K of Jaguar Health, Inc. filed August 30, 2022,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05">
              <w:r>
                <w:rPr>
                  <w:rStyle w:val="InternetLink"/>
                </w:rPr>
                <w:t xml:space="preserve">Amended and Restated License and Services Agreement, dated October  11, 2022, by and among Jaguar Health, Inc., SynWorld Technologies Corporation, C&amp;E Telecom, LTD and Tao Wang (incorporated by reference to Exhibit 10.1 to the Form 8-K of Jaguar Health, Inc. October  14, 2022,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06">
              <w:r>
                <w:rPr>
                  <w:rStyle w:val="InternetLink"/>
                </w:rPr>
                <w:t xml:space="preserve">Global Amendment, dated October  17, 2022, by and among Jaguar Health, Inc., Napo Pharmaceuticals, Inc. and Streeterville Capital, LLC (incorporated by reference to Exhibit 10.1 to the Form 8-K of Jaguar Health, Inc. filed October  21, 2022,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07">
              <w:r>
                <w:rPr>
                  <w:rStyle w:val="InternetLink"/>
                </w:rPr>
                <w:t xml:space="preserve">Securities Purchase Agreement, dated November  11, 2022, by and between Jaguar Health, Inc. and SynWorld Technologies Corporation (incorporated by reference to Exhibit 10.1 to the Form 8-K of Jaguar Health, Inc. filed November 16, 2022,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08">
              <w:r>
                <w:rPr>
                  <w:rStyle w:val="InternetLink"/>
                </w:rPr>
                <w:t xml:space="preserve">Form of Company Stock Option Cancellation Agreement (incorporated by reference to Exhibit 10.1 to the Form 8-K of Jaguar Health, Inc. filed December 30, 2022,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09">
              <w:r>
                <w:rPr>
                  <w:rStyle w:val="InternetLink"/>
                </w:rPr>
                <w:t xml:space="preserve">Mutual Termination of License Agreement, dated as of January  31, 2023, by and among Jaguar Health, Inc., SynWorld Technologies Corporation, C&amp;E Telecom, LTD, and Tao Wang (incorporated by reference to Exhibit 10.1 to the Form 8-K of Jaguar Health, Inc. filed February 6, 2023,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0">
              <w:r>
                <w:rPr>
                  <w:rStyle w:val="InternetLink"/>
                </w:rPr>
                <w:t>Form of Securities Purchase Agreement, dated May 8, 2023 (incorporated by reference to Exhibit 10.1 to the Form 8-K of Jaguar Health, Inc. filed May 9,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1">
              <w:r>
                <w:rPr>
                  <w:rStyle w:val="InternetLink"/>
                </w:rPr>
                <w:t xml:space="preserve">Standstill Agreement, dated May  8, 2023 (incorporated by reference to Exhibit 10.2 to the Form 8-K of Jaguar Health, Inc. filed May 9, 2023,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2">
              <w:r>
                <w:rPr>
                  <w:rStyle w:val="InternetLink"/>
                </w:rPr>
                <w:t xml:space="preserve">Second Amendment to the Jaguar Health, Inc. New Employee Inducement Award Plan (incorporated by reference to Exhibit 10.1 to the Form 8-K of Jaguar Health, Inc. filed May 19, 2023,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3">
              <w:r>
                <w:rPr>
                  <w:rStyle w:val="InternetLink"/>
                </w:rPr>
                <w:t xml:space="preserve">Form of Exchange Agreement, dated June  28, 2023, by and between Jaguar Health, Inc. and Uptown Capital, LLC (incorporated by reference to Exhibit 10.1 to the Form 8-K filed July 3, 2023,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4">
              <w:r>
                <w:rPr>
                  <w:rStyle w:val="InternetLink"/>
                </w:rPr>
                <w:t xml:space="preserve">First Amendment to the Standstill Agreement, dated June 28, 2023 (incorporated by reference to Exhibit 10.2 to the Form 8-K of Jaguar Health, Inc. filed July 3, 2023,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5">
              <w:r>
                <w:rPr>
                  <w:rStyle w:val="InternetLink"/>
                </w:rPr>
                <w:t xml:space="preserve">Binding Memorandum of Understanding, dated June  30, 2023, by and among Jaguar Health, Inc., Napo Pharmaceuticals, Inc., Iliad Research and Trading, L.P., Uptown Capital, LLC and Streeterville Capital, LLC (incorporated by reference to Exhibit 10.6 to the Form 10-Q filed August 14, 2023,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6">
              <w:r>
                <w:rPr>
                  <w:rStyle w:val="InternetLink"/>
                </w:rPr>
                <w:t xml:space="preserve">Amendment No. 1 to Manufacturing and Supply Agreement, dated July  12, 2023, by and between Napo Pharmaceuticals, Inc. and Alivus Life Sciences Limited (incorporated by reference to Exhibit 10.7 to the Form 10-Q filed August  14, 2023,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7">
              <w:r>
                <w:rPr>
                  <w:rStyle w:val="InternetLink"/>
                </w:rPr>
                <w:t xml:space="preserve">Exchange Agreement, dated September  29, 2023, by and between Jaguar Health, Inc. and Uptown Capital, LLC (incorporated by reference to Exhibit 10.1 to the Form 8-K filed October 5, 2023,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5"/>
        <w:gridCol w:w="599"/>
        <w:gridCol w:w="8751"/>
      </w:tblGrid>
      <w:tr>
        <w:trPr/>
        <w:tc>
          <w:tcPr>
            <w:tcW w:w="855"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8751" w:type="dxa"/>
            <w:tcBorders/>
            <w:vAlign w:val="center"/>
          </w:tcPr>
          <w:p>
            <w:pPr>
              <w:pStyle w:val="TableContents"/>
              <w:bidi w:val="0"/>
              <w:spacing w:before="0" w:after="283"/>
              <w:jc w:val="left"/>
              <w:rPr>
                <w:sz w:val="4"/>
                <w:szCs w:val="4"/>
              </w:rPr>
            </w:pPr>
            <w:r>
              <w:rPr>
                <w:sz w:val="4"/>
                <w:szCs w:val="4"/>
              </w:rPr>
            </w:r>
          </w:p>
        </w:tc>
      </w:tr>
      <w:tr>
        <w:trPr/>
        <w:tc>
          <w:tcPr>
            <w:tcW w:w="85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599" w:type="dxa"/>
            <w:tcBorders/>
            <w:vAlign w:val="bottom"/>
          </w:tcPr>
          <w:p>
            <w:pPr>
              <w:pStyle w:val="TableContents"/>
              <w:bidi w:val="0"/>
              <w:spacing w:before="0" w:after="283"/>
              <w:jc w:val="left"/>
              <w:rPr/>
            </w:pPr>
            <w:r>
              <w:rPr/>
              <w:t>  </w:t>
            </w:r>
          </w:p>
        </w:tc>
        <w:tc>
          <w:tcPr>
            <w:tcW w:w="87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10.89</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18">
              <w:r>
                <w:rPr>
                  <w:rStyle w:val="InternetLink"/>
                </w:rPr>
                <w:t xml:space="preserve">First Amendment to 200 Pine Street Office Lease, dated December 24, 2021, between Jaguar Health, Inc. and M  &amp; E, LLC (incorporated by reference to Exhibit 10.1 to the Form 8-K filed December 1, 2023,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10.90</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19">
              <w:r>
                <w:rPr>
                  <w:rStyle w:val="InternetLink"/>
                </w:rPr>
                <w:t xml:space="preserve">Second Amendment to 200 Pine Street Office Lease, dated October 25, 2023, between Jaguar Health, Inc. and M  &amp; E, LLC (incorporated by reference to Exhibit 10.2 to the Form 8-K filed December 1, 2023,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10.91</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0">
              <w:r>
                <w:rPr>
                  <w:rStyle w:val="InternetLink"/>
                </w:rPr>
                <w:t xml:space="preserve">Exchange Agreement, dated March  1, 2024, by and between Jaguar Health, Inc. and Streeterville Capital, LLC (incorporated by reference to Exhibit 10.1 to the Form 8-K filed March 1, 2024,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10.92</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1">
              <w:r>
                <w:rPr>
                  <w:rStyle w:val="InternetLink"/>
                </w:rPr>
                <w:t xml:space="preserve">Form of PIPE Warrant Exchange Agreement, dated February  27, 2024, by and between Jaguar Health, Inc. and the PIPE investor (incorporated by reference to Exhibit 10.2 to the Form 8-K filed March 1, 2024,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10.93</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2">
              <w:r>
                <w:rPr>
                  <w:rStyle w:val="InternetLink"/>
                </w:rPr>
                <w:t xml:space="preserve">Second Amendment to the At the Market Offering Agreement, dated May  23, 2024, by and between Jaguar Health, Inc. and Ladenburg Thalmann &amp; Co. Inc. (incorporated by reference to Exhibit 10.1 to the Form 8-K of Jaguar Health, Inc. filed May 23, 2024,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10.94</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3">
              <w:r>
                <w:rPr>
                  <w:rStyle w:val="InternetLink"/>
                </w:rPr>
                <w:t xml:space="preserve">Third Amendment to the At the Market Offering Agreement, dated July  17, 2024, by and between Jaguar Health, Inc., Ladenburg Thalmann  &amp; Co. Inc. and Lucid Capital Markets, LLC (incorporated by reference to Exhibit 10.1 to the Form 8-K of Jaguar Health, Inc. filed July 18, 2024,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10.95</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4">
              <w:r>
                <w:rPr>
                  <w:rStyle w:val="InternetLink"/>
                </w:rPr>
                <w:t xml:space="preserve">Fourth Amendment to the At the Market Offering Agreement, dated November  13, 2024, by and between Jaguar Health, Inc., Ladenburg Thalmann  &amp; Co. Inc. and Lucid Capital Markets, LLC (incorporated by reference to Exhibit 10.1 to the Form 8-K of Jaguar Health, Inc. filed November 13, 2024,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10.96</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5">
              <w:r>
                <w:rPr>
                  <w:rStyle w:val="InternetLink"/>
                </w:rPr>
                <w:t xml:space="preserve">Form of Limited Waiver (incorporated by reference to Exhibit 10.1 to the Form 8-K of Jaguar Health, Inc. filed May 5, 2025,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10.97</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6">
              <w:r>
                <w:rPr>
                  <w:rStyle w:val="InternetLink"/>
                </w:rPr>
                <w:t xml:space="preserve">Fifth Amendment to the At the Market Offering Agreement, dated February  4, 2025, by and between Jaguar Health, Inc., Ladenburg Thalmann &amp; Co. Inc. and Lucid Capital Markets, LLC (incorporated by reference to Exhibit 10.91 to the Form 10-K filed April  7, 2026,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10.98</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7">
              <w:r>
                <w:rPr>
                  <w:rStyle w:val="InternetLink"/>
                </w:rPr>
                <w:t xml:space="preserve">Form of Securities Purchase Agreement (incorporated by reference to Exhibit 10.1 to the Form  8-K filed March 26, 2025,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10.99</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8">
              <w:r>
                <w:rPr>
                  <w:rStyle w:val="InternetLink"/>
                </w:rPr>
                <w:t xml:space="preserve">Form of Registration Rights Agreement (incorporated by reference to Exhibit 10.2 to the Form  8-K filed March 26, 2025,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10.100</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9">
              <w:r>
                <w:rPr>
                  <w:rStyle w:val="InternetLink"/>
                </w:rPr>
                <w:t xml:space="preserve">Iliad Common Stock Exchange Agreement (incorporated by reference to Exhibit 10.1 to the Form  8-K filed May 15, 2025,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10.101</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0">
              <w:r>
                <w:rPr>
                  <w:rStyle w:val="InternetLink"/>
                </w:rPr>
                <w:t xml:space="preserve">Streeterville Exchange Agreement (incorporated by reference to Exhibit 10.2 to the Form 8-K filed May 15, 2025,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10.102</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1">
              <w:r>
                <w:rPr>
                  <w:rStyle w:val="InternetLink"/>
                </w:rPr>
                <w:t xml:space="preserve">Iliad Series L Exchange Agreement (incorporated by reference to Exhibit 10.3 to the Form 8-K filed May 15, 2025,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10.103</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2">
              <w:r>
                <w:rPr>
                  <w:rStyle w:val="InternetLink"/>
                </w:rPr>
                <w:t xml:space="preserve">Form of Securities Purchase Agreement (incorporated by reference to Exhibit 10.1 to the Form  8-K filed May 22, 2025,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10.104</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3">
              <w:r>
                <w:rPr>
                  <w:rStyle w:val="InternetLink"/>
                </w:rPr>
                <w:t xml:space="preserve">Form of Note Exchange and Warrant Purchase Agreement (incorporated by reference to Exhibit 10.1 to the Form 8-K filed June 24, 2025, File No. 001-36714).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10.105</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4">
              <w:r>
                <w:rPr>
                  <w:rStyle w:val="InternetLink"/>
                </w:rPr>
                <w:t xml:space="preserve">Iliad Series M Exchange Agreement (incorporated by reference to Exhibit 10.1 to the Form 8-K filed June 30, 2025,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2"/>
        <w:gridCol w:w="600"/>
        <w:gridCol w:w="8753"/>
      </w:tblGrid>
      <w:tr>
        <w:trPr/>
        <w:tc>
          <w:tcPr>
            <w:tcW w:w="852"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jc w:val="left"/>
              <w:rPr>
                <w:sz w:val="4"/>
                <w:szCs w:val="4"/>
              </w:rPr>
            </w:pPr>
            <w:r>
              <w:rPr>
                <w:sz w:val="4"/>
                <w:szCs w:val="4"/>
              </w:rPr>
            </w:r>
          </w:p>
        </w:tc>
      </w:tr>
      <w:tr>
        <w:trPr/>
        <w:tc>
          <w:tcPr>
            <w:tcW w:w="85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00" w:type="dxa"/>
            <w:tcBorders/>
            <w:vAlign w:val="bottom"/>
          </w:tcPr>
          <w:p>
            <w:pPr>
              <w:pStyle w:val="TableContents"/>
              <w:bidi w:val="0"/>
              <w:spacing w:before="0" w:after="283"/>
              <w:jc w:val="left"/>
              <w:rPr/>
            </w:pPr>
            <w:r>
              <w:rPr/>
              <w:t>  </w:t>
            </w:r>
          </w:p>
        </w:tc>
        <w:tc>
          <w:tcPr>
            <w:tcW w:w="87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35">
              <w:r>
                <w:rPr>
                  <w:rStyle w:val="InternetLink"/>
                </w:rPr>
                <w:t xml:space="preserve">Streeterville Series M Exchange Agreement (incorporated by reference to Exhibit 10.2 to the Form  8-K filed June 30, 2025,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36">
              <w:r>
                <w:rPr>
                  <w:rStyle w:val="InternetLink"/>
                </w:rPr>
                <w:t>Sixth ATM Amendment, dated August 14, 2025, to ATM Agreement by and among Jaguar Health, Inc., Ladenburg Thalmann  &amp; Co. Inc. and Lucid Capital Markets, LLC. (incorporated by reference to Exhibit 10.1 to the Form 8-K filed August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37">
              <w:r>
                <w:rPr>
                  <w:rStyle w:val="InternetLink"/>
                </w:rPr>
                <w:t xml:space="preserve">Form of Securities Purchase Agreements (incorporated by reference to Exhibit 10.1 to the Form  8-K filed September 11, 2025,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38">
              <w:r>
                <w:rPr>
                  <w:rStyle w:val="InternetLink"/>
                </w:rPr>
                <w:t xml:space="preserve">Securities Purchase Agreement, dated September  28, 2025, by and between Jaguar Health, Inc. and Brown Stone Capital Limited (incorporated by reference to Exhibit 10.1 to the Form 8-K filed October 1, 2025,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39">
              <w:r>
                <w:rPr>
                  <w:rStyle w:val="InternetLink"/>
                </w:rPr>
                <w:t xml:space="preserve">Form of Exchange Agreement (incorporated by reference to Exhibit 10.1 to the Form 8-K filed October 3, 2025,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0">
              <w:r>
                <w:rPr>
                  <w:rStyle w:val="InternetLink"/>
                </w:rPr>
                <w:t xml:space="preserve">Note Purchase Agreement, dated November  12, 2025, by and between Jaguar Health, Inc. and Streeterville Capital, LLC (incorporated by reference to Exhibit 10.1 to the Form 8-K filed November  14, 2025,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1">
              <w:r>
                <w:rPr>
                  <w:rStyle w:val="InternetLink"/>
                </w:rPr>
                <w:t xml:space="preserve">Deposit Account Control Agreement, dated November  12, 2025, by and among JAGX Holdings, LLC, Streeterville Capital, LLC and Lakeside Bank (incorporated by reference to Exhibit 10.2 to the Form 8-K filed November 14, 2025,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2">
              <w:r>
                <w:rPr>
                  <w:rStyle w:val="InternetLink"/>
                </w:rPr>
                <w:t xml:space="preserve">Guaranty, dated November 12, 2025, by JAGX Holdings, LLC (incorporated by reference to Exhibit 10.3 to the Form 8-K filed November 14, 2025,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10.114</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3">
              <w:r>
                <w:rPr>
                  <w:rStyle w:val="InternetLink"/>
                </w:rPr>
                <w:t xml:space="preserve">Pledge Agreement, dated November 12, 2025, by Jaguar Health, Inc. (incorporated by reference to Exhibit 10.4 to the Form 8-K filed November 14, 2025,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10.115</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4">
              <w:r>
                <w:rPr>
                  <w:rStyle w:val="InternetLink"/>
                </w:rPr>
                <w:t xml:space="preserve">Exchange Agreement dated November  17, 2025, by and between Jaguar Health, Inc. and Streeterville Capital, LLC (incorporated by reference to Exhibit 10.1 to the Form 8-K filed November  19, 2025,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5">
              <w:r>
                <w:rPr>
                  <w:rStyle w:val="InternetLink"/>
                </w:rPr>
                <w:t xml:space="preserve">First Exchange Agreement, dated December  9, 2025, by and between Jaguar Health, Inc. and Iliad Research and Trading, L.P. (incorporated by reference to Exhibit 10.116 to the Form 10-K filed April 7, 2026,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6">
              <w:r>
                <w:rPr>
                  <w:rStyle w:val="InternetLink"/>
                </w:rPr>
                <w:t xml:space="preserve">Second Exchange Agreement, dated December  11, 2025, by and between Jaguar Health, Inc. and Iliad Research and Trading, L.P. (incorporated by reference to Exhibit 10.117 to the Form 10-K filed April 7, 2026,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7">
              <w:r>
                <w:rPr>
                  <w:rStyle w:val="InternetLink"/>
                </w:rPr>
                <w:t xml:space="preserve">Form of Securities Purchase Agreement (incorporated by reference to Exhibit 10.1 to the Form  8-K/A filed January 12, 2026,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8">
              <w:r>
                <w:rPr>
                  <w:rStyle w:val="InternetLink"/>
                </w:rPr>
                <w:t xml:space="preserve">License Agreement, dated January  12, 2026, by and among Napo Pharmaceuticals, Inc., Jaguar Health, Inc., Woodward Specialty LLC and Future Pak, LLC (incorporated by reference to Exhibit 10.1 to the Form 8-K filed January  15, 2026,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9">
              <w:r>
                <w:rPr>
                  <w:rStyle w:val="InternetLink"/>
                </w:rPr>
                <w:t xml:space="preserve">Supply Agreement, dated January  12, 2026, by and among Napo Pharmaceuticals, Inc., Woodward Specialty LLC and Future Pak, LLC (incorporated by reference to Exhibit 10.2 to the Form 8-K filed January 15, 2026,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0">
              <w:r>
                <w:rPr>
                  <w:rStyle w:val="InternetLink"/>
                </w:rPr>
                <w:t>Iliad Royalty Interest Exchange Agreement, dated January 16, 2026 (incorporated by reference to Exhibit 10.1 to the Form 8-K filed January 23,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1">
              <w:r>
                <w:rPr>
                  <w:rStyle w:val="InternetLink"/>
                </w:rPr>
                <w:t xml:space="preserve">Streeterville Royalty Interest Exchange Agreement, dated January 16, 2026 (incorporated by reference to Exhibit 10.2 to the Form 8-K filed January 23, 2026,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2">
              <w:r>
                <w:rPr>
                  <w:rStyle w:val="InternetLink"/>
                </w:rPr>
                <w:t xml:space="preserve">Iliad Series L Exchange Agreement, dated January 16, 2026 (incorporated by reference to Exhibit 10.3 to the Form 8-K filed January 23, 2026,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4"/>
        <w:gridCol w:w="508"/>
        <w:gridCol w:w="8843"/>
      </w:tblGrid>
      <w:tr>
        <w:trPr/>
        <w:tc>
          <w:tcPr>
            <w:tcW w:w="854"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43"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508" w:type="dxa"/>
            <w:tcBorders/>
            <w:vAlign w:val="bottom"/>
          </w:tcPr>
          <w:p>
            <w:pPr>
              <w:pStyle w:val="TableContents"/>
              <w:bidi w:val="0"/>
              <w:spacing w:before="0" w:after="283"/>
              <w:jc w:val="left"/>
              <w:rPr/>
            </w:pPr>
            <w:r>
              <w:rPr/>
              <w:t>  </w:t>
            </w:r>
          </w:p>
        </w:tc>
        <w:tc>
          <w:tcPr>
            <w:tcW w:w="88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10.124</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53">
              <w:r>
                <w:rPr>
                  <w:rStyle w:val="InternetLink"/>
                </w:rPr>
                <w:t xml:space="preserve">Streeterville Series L Exchange Agreement, dated January 16, 2026 (incorporated by reference to Exhibit 10.4 to the Form 8-K filed January 23,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10.125</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54">
              <w:r>
                <w:rPr>
                  <w:rStyle w:val="InternetLink"/>
                </w:rPr>
                <w:t xml:space="preserve">Iliad Series M Exchange Agreement, dated January 16, 2026 (incorporated by reference to Exhibit 10.5 to the Form 8-K filed January 23,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10.126</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55">
              <w:r>
                <w:rPr>
                  <w:rStyle w:val="InternetLink"/>
                </w:rPr>
                <w:t xml:space="preserve">Streeterville Series M Exchange Agreement, dated January 16, 2026 (incorporated by reference to Exhibit 10.6 to the Form 8-K filed January 23,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10.127</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56">
              <w:r>
                <w:rPr>
                  <w:rStyle w:val="InternetLink"/>
                </w:rPr>
                <w:t xml:space="preserve">Security Agreement, dated March  6, 2026, by and between Napo Pharmaceuticals, Inc. and Streeterville Capital, LLC (incorporated by reference to Exhibit 10.1 to the Form 8-K filed March  9,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10.128</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57">
              <w:r>
                <w:rPr>
                  <w:rStyle w:val="InternetLink"/>
                </w:rPr>
                <w:t xml:space="preserve">Warrant Termination Agreement, dated March  6, 2026, by and between Jaguar Health, Inc., Uptown Capital, LLC, Streeterville Capital, LLC and Iliad Research and Trading, L.P. (incorporated by reference to Exhibit 10.2 to the Form 8-K filed March  9,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10.129</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58">
              <w:r>
                <w:rPr>
                  <w:rStyle w:val="InternetLink"/>
                </w:rPr>
                <w:t xml:space="preserve">ELOC Agreement, dated June  9, 2026, by and between Jaguar Health, Inc. and the Institutional Investor named therein (incorporated by reference to Exhibit 10.1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10.130</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59">
              <w:r>
                <w:rPr>
                  <w:rStyle w:val="InternetLink"/>
                </w:rPr>
                <w:t xml:space="preserve">ELOC Registration Rights Agreement, dated June  9, 2026, by and between Jaguar Health, Inc. and the Institutional Investor named therein (incorporated by reference to Exhibit 10.2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0">
              <w:r>
                <w:rPr>
                  <w:rStyle w:val="InternetLink"/>
                </w:rPr>
                <w:t xml:space="preserve">Form of the Preferred Stock Purchase Agreements (incorporated by reference to Exhibit 10.3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10.132</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1">
              <w:r>
                <w:rPr>
                  <w:rStyle w:val="InternetLink"/>
                </w:rPr>
                <w:t xml:space="preserve">Preferred Registration Rights Agreement, dated June  9, 2026, by and between Jaguar Health, Inc. and the Investors named therein (incorporated by reference to Exhibit 10.4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10.133</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2">
              <w:r>
                <w:rPr>
                  <w:rStyle w:val="InternetLink"/>
                </w:rPr>
                <w:t xml:space="preserve">Exchange Agreement, dated June 9, 2026, by and between Jaguar Health, Inc. and Streeterville Capital, LLC (incorporated by reference to Exhibit 10.1 to the Form 8-K filed June 18,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10.134</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3">
              <w:r>
                <w:rPr>
                  <w:rStyle w:val="InternetLink"/>
                </w:rPr>
                <w:t xml:space="preserve">Exchange Agreement, dated June 17, 2026, by and between Jaguar Health, Inc. and Streeterville Capital, LLC (incorporated by reference to Exhibit 10.2 to the Form 8-K filed June 18,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10.135</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4">
              <w:r>
                <w:rPr>
                  <w:rStyle w:val="InternetLink"/>
                </w:rPr>
                <w:t xml:space="preserve">Exchange Agreement, dated June 18, 2026, by and between Jaguar Health, Inc. and Streeterville Capital, LLC (incorporated by reference to Exhibit 10.3 to the Form 8-K filed June 18,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10.136</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5">
              <w:r>
                <w:rPr>
                  <w:rStyle w:val="InternetLink"/>
                </w:rPr>
                <w:t xml:space="preserve">First Amendment to Manufacturing and Supply Agreement, dated as of June 22, 2026, by and among Napo Pharmaceuticals, Inc., Jaguar Health, Inc., and Woodward Specialty LLC (incorporated by reference to Exhibit 10.1 to the Form 8-K filed June 25,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10.137#</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r>
              <w:rPr/>
              <w:t>Manufacturing and Supply Agreement, dated July 9, 2026, by and between Napo Pharmaceuticals, Inc. and Alivus Life Sciences Limited (incorporated by reference to Exhibit 10.1 to the Form 8-K filed July 14, 2026, File No. 001-36714).</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21.1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6">
              <w:r>
                <w:rPr>
                  <w:rStyle w:val="InternetLink"/>
                </w:rPr>
                <w:t>Subsidiaries of the Registrant (incorporated by reference to Exhibit 21.1 to the Form 10-K filed April 7,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23.1*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w:anchor="d117884dex231.htm">
              <w:r>
                <w:rPr>
                  <w:rStyle w:val="InternetLink"/>
                </w:rPr>
                <w:t xml:space="preserve">Consent of RBSM LLP, Independent Registered Public Accounting Firm.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23.2*</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w:anchor="d117884dex51.htm">
              <w:r>
                <w:rPr>
                  <w:rStyle w:val="InternetLink"/>
                </w:rPr>
                <w:t xml:space="preserve">Consent of Reed Smith LLP (Included in Exhibit 5.1).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107*</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w:anchor="d117884dexfilingfees.htm">
              <w:r>
                <w:rPr>
                  <w:rStyle w:val="InternetLink"/>
                </w:rPr>
                <w:t xml:space="preserve">Filing Fee Table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appendices and exhibits to this agreement have been omitted in accordance with Item 601 of Regulation S-K. A copy of any omitted schedule and/or exhibit will be furnished supplementally to the Securities and Exchange Commission staff upon request.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treatment granted as to portions of the exhibit. Confidential materials omitted and filed separately with the Securities and Exchange Commission. </w:t>
            </w:r>
          </w:p>
        </w:tc>
      </w:tr>
    </w:tbl>
    <w:tbl>
      <w:tblPr>
        <w:tblW w:w="5000" w:type="pct"/>
        <w:jc w:val="left"/>
        <w:tblInd w:w="0" w:type="dxa"/>
        <w:tblLayout w:type="fixed"/>
        <w:tblCellMar>
          <w:top w:w="0" w:type="dxa"/>
          <w:left w:w="0" w:type="dxa"/>
          <w:bottom w:w="0" w:type="dxa"/>
          <w:right w:w="0" w:type="dxa"/>
        </w:tblCellMar>
      </w:tblPr>
      <w:tblGrid>
        <w:gridCol w:w="402"/>
        <w:gridCol w:w="9803"/>
      </w:tblGrid>
      <w:tr>
        <w:trPr/>
        <w:tc>
          <w:tcPr>
            <w:tcW w:w="402" w:type="dxa"/>
            <w:tcBorders/>
          </w:tcPr>
          <w:p>
            <w:pPr>
              <w:pStyle w:val="TableContents"/>
              <w:bidi w:val="0"/>
              <w:spacing w:before="0" w:after="283"/>
              <w:jc w:val="left"/>
              <w:rPr/>
            </w:pPr>
            <w:r>
              <w:rPr/>
              <w:t></w:t>
            </w:r>
          </w:p>
        </w:tc>
        <w:tc>
          <w:tcPr>
            <w:tcW w:w="98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or compensatory plan or arrangement.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have been omitted pursuant to Item 601 of Regulation S-K promulgated under the Securities Act because the information (i) is not material and (ii) would be competitively harmful if publicly disclosed.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San Francisco, State of California on July 15,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Jaguar Health,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Lisa A. Conte</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Chief Executive Officer and President</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directors and officers of Jaguar Health, Inc., a Delaware corporation, hereby severally constitute and appoint Lisa A. Conte and Carol Lizak, and each of them singly, our true and lawful attorneys-in-fact and agents, with full power full power of substitution and resubstitution for her or him and in her or his name, place and stead, and in any and all capacities, to sign for us and in our names in the capacities indicated below any and all amendments (including post-effective amendments) to this registration statement (or any other registration statement for the same offering that is to be effective upon filing pursuant to Rule 462(b) under the Securities Act of 1933, as amended),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he might or could do in person, hereby ratifying and confirming all that said attorney-in-fact and agent, or her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center"/>
              <w:rPr>
                <w:b/>
              </w:rPr>
            </w:pPr>
            <w:r>
              <w:rPr>
                <w:b/>
              </w:rPr>
              <w:t>Signature</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Title</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Date</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Lisa A. Conte</w:t>
            </w:r>
          </w:p>
          <w:p>
            <w:pPr>
              <w:pStyle w:val="TableContents"/>
              <w:bidi w:val="0"/>
              <w:spacing w:before="0" w:after="20"/>
              <w:jc w:val="left"/>
              <w:rPr>
                <w:rFonts w:ascii="Times New Roman" w:hAnsi="Times New Roman"/>
                <w:sz w:val="20"/>
              </w:rPr>
            </w:pPr>
            <w:r>
              <w:rPr>
                <w:rFonts w:ascii="Times New Roman" w:hAnsi="Times New Roman"/>
                <w:sz w:val="20"/>
              </w:rPr>
              <w:t>Lisa A. Conte</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Chief Executive Officer, President and Director (Principal Executive Officer)</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July 15, 2026</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Carol Lizak</w:t>
            </w:r>
          </w:p>
          <w:p>
            <w:pPr>
              <w:pStyle w:val="TableContents"/>
              <w:bidi w:val="0"/>
              <w:spacing w:before="0" w:after="20"/>
              <w:jc w:val="left"/>
              <w:rPr>
                <w:rFonts w:ascii="Times New Roman" w:hAnsi="Times New Roman"/>
                <w:sz w:val="20"/>
              </w:rPr>
            </w:pPr>
            <w:r>
              <w:rPr>
                <w:rFonts w:ascii="Times New Roman" w:hAnsi="Times New Roman"/>
                <w:sz w:val="20"/>
              </w:rPr>
              <w:t>Carol Lizak</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Chief Financial Officer and Treasurer (Principal Financial and Accounting Officer)</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July 15, 2026</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J. Bochnowski</w:t>
            </w:r>
          </w:p>
          <w:p>
            <w:pPr>
              <w:pStyle w:val="TableContents"/>
              <w:bidi w:val="0"/>
              <w:spacing w:before="0" w:after="20"/>
              <w:jc w:val="left"/>
              <w:rPr>
                <w:rFonts w:ascii="Times New Roman" w:hAnsi="Times New Roman"/>
                <w:sz w:val="20"/>
              </w:rPr>
            </w:pPr>
            <w:r>
              <w:rPr>
                <w:rFonts w:ascii="Times New Roman" w:hAnsi="Times New Roman"/>
                <w:sz w:val="20"/>
              </w:rPr>
              <w:t>James J. Bochnowski</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Chairman of the Board</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July 15, 2026</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Micek III</w:t>
            </w:r>
          </w:p>
          <w:p>
            <w:pPr>
              <w:pStyle w:val="TableContents"/>
              <w:bidi w:val="0"/>
              <w:spacing w:before="0" w:after="20"/>
              <w:jc w:val="left"/>
              <w:rPr>
                <w:rFonts w:ascii="Times New Roman" w:hAnsi="Times New Roman"/>
                <w:sz w:val="20"/>
              </w:rPr>
            </w:pPr>
            <w:r>
              <w:rPr>
                <w:rFonts w:ascii="Times New Roman" w:hAnsi="Times New Roman"/>
                <w:sz w:val="20"/>
              </w:rPr>
              <w:t>John Micek III</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July 15, 2026</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Jonathan B. Siegel</w:t>
            </w:r>
          </w:p>
          <w:p>
            <w:pPr>
              <w:pStyle w:val="TableContents"/>
              <w:bidi w:val="0"/>
              <w:spacing w:before="0" w:after="20"/>
              <w:jc w:val="left"/>
              <w:rPr>
                <w:rFonts w:ascii="Times New Roman" w:hAnsi="Times New Roman"/>
                <w:sz w:val="20"/>
              </w:rPr>
            </w:pPr>
            <w:r>
              <w:rPr>
                <w:rFonts w:ascii="Times New Roman" w:hAnsi="Times New Roman"/>
                <w:sz w:val="20"/>
              </w:rPr>
              <w:t>Jonathan B. Siegel</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July 15, 2026</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Anula Jayasuriya</w:t>
            </w:r>
          </w:p>
          <w:p>
            <w:pPr>
              <w:pStyle w:val="TableContents"/>
              <w:bidi w:val="0"/>
              <w:spacing w:before="0" w:after="20"/>
              <w:jc w:val="left"/>
              <w:rPr>
                <w:rFonts w:ascii="Times New Roman" w:hAnsi="Times New Roman"/>
                <w:sz w:val="20"/>
              </w:rPr>
            </w:pPr>
            <w:r>
              <w:rPr>
                <w:rFonts w:ascii="Times New Roman" w:hAnsi="Times New Roman"/>
                <w:sz w:val="20"/>
              </w:rPr>
              <w:t>Anula Jayasuriya</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July 15,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II-26 </w:t>
      </w:r>
    </w:p>
    <w:p>
      <w:pPr>
        <w:pStyle w:val="TextBody"/>
        <w:bidi w:val="0"/>
        <w:spacing w:before="0" w:after="0"/>
        <w:jc w:val="right"/>
        <w:rPr>
          <w:rFonts w:ascii="Times New Roman" w:hAnsi="Times New Roman"/>
          <w:b/>
          <w:sz w:val="20"/>
        </w:rPr>
      </w:pPr>
      <w:bookmarkStart w:id="18" w:name="d117884dex51.htm"/>
      <w:bookmarkStart w:id="19" w:name="ksd117884dex51"/>
      <w:bookmarkEnd w:id="18"/>
      <w:bookmarkEnd w:id="19"/>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1"/>
        <w:gridCol w:w="5002"/>
      </w:tblGrid>
      <w:tr>
        <w:trPr/>
        <w:tc>
          <w:tcPr>
            <w:tcW w:w="510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drawing>
                <wp:inline distT="0" distB="0" distL="0" distR="0">
                  <wp:extent cx="1552575" cy="32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7"/>
                          <a:stretch>
                            <a:fillRect/>
                          </a:stretch>
                        </pic:blipFill>
                        <pic:spPr bwMode="auto">
                          <a:xfrm>
                            <a:off x="0" y="0"/>
                            <a:ext cx="1552575" cy="32385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0"/>
              <w:jc w:val="right"/>
              <w:rPr>
                <w:rFonts w:ascii="Times New Roman" w:hAnsi="Times New Roman"/>
                <w:sz w:val="20"/>
              </w:rPr>
            </w:pPr>
            <w:r>
              <w:rPr>
                <w:rFonts w:ascii="Times New Roman" w:hAnsi="Times New Roman"/>
                <w:sz w:val="20"/>
              </w:rPr>
              <w:t>Reed Smith LLP</w:t>
            </w:r>
          </w:p>
          <w:p>
            <w:pPr>
              <w:pStyle w:val="TableContents"/>
              <w:bidi w:val="0"/>
              <w:spacing w:before="0" w:after="0"/>
              <w:jc w:val="right"/>
              <w:rPr>
                <w:rFonts w:ascii="Times New Roman" w:hAnsi="Times New Roman"/>
                <w:sz w:val="20"/>
              </w:rPr>
            </w:pPr>
            <w:r>
              <w:rPr>
                <w:rFonts w:ascii="Times New Roman" w:hAnsi="Times New Roman"/>
                <w:sz w:val="20"/>
              </w:rPr>
              <w:t>1841 Page Mill Road, Suite 110</w:t>
            </w:r>
          </w:p>
          <w:p>
            <w:pPr>
              <w:pStyle w:val="TableContents"/>
              <w:bidi w:val="0"/>
              <w:spacing w:before="0" w:after="0"/>
              <w:jc w:val="right"/>
              <w:rPr>
                <w:rFonts w:ascii="Times New Roman" w:hAnsi="Times New Roman"/>
                <w:sz w:val="20"/>
              </w:rPr>
            </w:pPr>
            <w:r>
              <w:rPr>
                <w:rFonts w:ascii="Times New Roman" w:hAnsi="Times New Roman"/>
                <w:sz w:val="20"/>
              </w:rPr>
              <w:t>Palo Alto, CA 94304</w:t>
            </w:r>
          </w:p>
          <w:p>
            <w:pPr>
              <w:pStyle w:val="TableContents"/>
              <w:bidi w:val="0"/>
              <w:spacing w:before="0" w:after="0"/>
              <w:jc w:val="right"/>
              <w:rPr>
                <w:rFonts w:ascii="Times New Roman" w:hAnsi="Times New Roman"/>
                <w:sz w:val="20"/>
              </w:rPr>
            </w:pPr>
            <w:r>
              <w:rPr>
                <w:rFonts w:ascii="Times New Roman" w:hAnsi="Times New Roman"/>
                <w:sz w:val="20"/>
              </w:rPr>
              <w:t>+1 650 352 0500</w:t>
            </w:r>
          </w:p>
          <w:p>
            <w:pPr>
              <w:pStyle w:val="TableContents"/>
              <w:bidi w:val="0"/>
              <w:spacing w:before="0" w:after="0"/>
              <w:jc w:val="right"/>
              <w:rPr>
                <w:rFonts w:ascii="Times New Roman" w:hAnsi="Times New Roman"/>
                <w:sz w:val="20"/>
              </w:rPr>
            </w:pPr>
            <w:r>
              <w:rPr>
                <w:rFonts w:ascii="Times New Roman" w:hAnsi="Times New Roman"/>
                <w:sz w:val="20"/>
              </w:rPr>
              <w:t>Fax +1 650 352 0699</w:t>
            </w:r>
          </w:p>
          <w:p>
            <w:pPr>
              <w:pStyle w:val="TableContents"/>
              <w:bidi w:val="0"/>
              <w:spacing w:before="0" w:after="20"/>
              <w:jc w:val="right"/>
              <w:rPr>
                <w:rFonts w:ascii="Times New Roman" w:hAnsi="Times New Roman"/>
                <w:sz w:val="20"/>
              </w:rPr>
            </w:pPr>
            <w:r>
              <w:rPr>
                <w:rFonts w:ascii="Times New Roman" w:hAnsi="Times New Roman"/>
                <w:sz w:val="20"/>
              </w:rPr>
              <w:t>reedsmith.com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Jaguar Health, Inc. </w:t>
      </w:r>
    </w:p>
    <w:p>
      <w:pPr>
        <w:pStyle w:val="TextBody"/>
        <w:bidi w:val="0"/>
        <w:spacing w:before="0" w:after="0"/>
        <w:jc w:val="left"/>
        <w:rPr>
          <w:rFonts w:ascii="Times New Roman" w:hAnsi="Times New Roman"/>
          <w:sz w:val="20"/>
        </w:rPr>
      </w:pPr>
      <w:r>
        <w:rPr>
          <w:rFonts w:ascii="Times New Roman" w:hAnsi="Times New Roman"/>
          <w:sz w:val="20"/>
        </w:rPr>
        <w:t xml:space="preserve">200 Pine Street, Suite 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94014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This opinion is furnished to you in connection with the Registration Statement on Form S-1 (the “</w:t>
      </w:r>
      <w:r>
        <w:rPr>
          <w:rFonts w:ascii="Times New Roman" w:hAnsi="Times New Roman"/>
          <w:sz w:val="20"/>
          <w:u w:val="single"/>
        </w:rPr>
        <w:t>Registration Statement</w:t>
      </w:r>
      <w:r>
        <w:rPr>
          <w:rFonts w:ascii="Times New Roman" w:hAnsi="Times New Roman"/>
          <w:sz w:val="20"/>
        </w:rPr>
        <w:t>”), including the prospectus constituting a part thereof (the “Prospectus”), filed by Jaguar Health, Inc., a Delaware corporation (the “</w:t>
      </w:r>
      <w:r>
        <w:rPr>
          <w:rFonts w:ascii="Times New Roman" w:hAnsi="Times New Roman"/>
          <w:sz w:val="20"/>
          <w:u w:val="single"/>
        </w:rPr>
        <w:t>Company</w:t>
      </w:r>
      <w:r>
        <w:rPr>
          <w:rFonts w:ascii="Times New Roman" w:hAnsi="Times New Roman"/>
          <w:sz w:val="20"/>
        </w:rPr>
        <w:t>”), with the Securities and Exchange Commission (the “</w:t>
      </w:r>
      <w:r>
        <w:rPr>
          <w:rFonts w:ascii="Times New Roman" w:hAnsi="Times New Roman"/>
          <w:sz w:val="20"/>
          <w:u w:val="single"/>
        </w:rPr>
        <w:t>Commission</w:t>
      </w:r>
      <w:r>
        <w:rPr>
          <w:rFonts w:ascii="Times New Roman" w:hAnsi="Times New Roman"/>
          <w:sz w:val="20"/>
        </w:rPr>
        <w:t>”) on the date hereof in connection with the registration under the Securities Act of 1933, as amended (the “</w:t>
      </w:r>
      <w:r>
        <w:rPr>
          <w:rFonts w:ascii="Times New Roman" w:hAnsi="Times New Roman"/>
          <w:sz w:val="20"/>
          <w:u w:val="single"/>
        </w:rPr>
        <w:t>Securities Act</w:t>
      </w:r>
      <w:r>
        <w:rPr>
          <w:rFonts w:ascii="Times New Roman" w:hAnsi="Times New Roman"/>
          <w:sz w:val="20"/>
        </w:rPr>
        <w:t>”), for resale by the selling stockholders named in the Registration Statement (the “</w:t>
      </w:r>
      <w:r>
        <w:rPr>
          <w:rFonts w:ascii="Times New Roman" w:hAnsi="Times New Roman"/>
          <w:sz w:val="20"/>
          <w:u w:val="single"/>
        </w:rPr>
        <w:t>Selling Stockholders</w:t>
      </w:r>
      <w:r>
        <w:rPr>
          <w:rFonts w:ascii="Times New Roman" w:hAnsi="Times New Roman"/>
          <w:sz w:val="20"/>
        </w:rPr>
        <w:t>”) of up to 5,522,551 shares of the Company’s voting common stock, par value $0.0001 per share (the “</w:t>
      </w:r>
      <w:r>
        <w:rPr>
          <w:rFonts w:ascii="Times New Roman" w:hAnsi="Times New Roman"/>
          <w:sz w:val="20"/>
          <w:u w:val="single"/>
        </w:rPr>
        <w:t>Common Stock</w:t>
      </w:r>
      <w:r>
        <w:rPr>
          <w:rFonts w:ascii="Times New Roman" w:hAnsi="Times New Roman"/>
          <w:sz w:val="20"/>
        </w:rPr>
        <w:t>”). Such shares of Common Stock consist of: (i) up to 4,395,605 shares of Common Stock (the “</w:t>
      </w:r>
      <w:r>
        <w:rPr>
          <w:rFonts w:ascii="Times New Roman" w:hAnsi="Times New Roman"/>
          <w:sz w:val="20"/>
          <w:u w:val="single"/>
        </w:rPr>
        <w:t>Redemption Shares</w:t>
      </w:r>
      <w:r>
        <w:rPr>
          <w:rFonts w:ascii="Times New Roman" w:hAnsi="Times New Roman"/>
          <w:sz w:val="20"/>
        </w:rPr>
        <w:t>”) that may be issued from time to time upon either the redemption of the shares of Series P Non-Convertible Preferred Stock, par value $0.0001 per share (the “</w:t>
      </w:r>
      <w:r>
        <w:rPr>
          <w:rFonts w:ascii="Times New Roman" w:hAnsi="Times New Roman"/>
          <w:sz w:val="20"/>
          <w:u w:val="single"/>
        </w:rPr>
        <w:t>Series P Preferred Stock</w:t>
      </w:r>
      <w:r>
        <w:rPr>
          <w:rFonts w:ascii="Times New Roman" w:hAnsi="Times New Roman"/>
          <w:sz w:val="20"/>
        </w:rPr>
        <w:t>”), which the Company sold and issued to the Selling Stockholders pursuant to those certain securities purchase agreements, each dated as of June 9, 2026, by and between the Company and the Selling Stockholders (collectively, the “</w:t>
      </w:r>
      <w:r>
        <w:rPr>
          <w:rFonts w:ascii="Times New Roman" w:hAnsi="Times New Roman"/>
          <w:sz w:val="20"/>
          <w:u w:val="single"/>
        </w:rPr>
        <w:t>Preferred Stock Purchase Agreements</w:t>
      </w:r>
      <w:r>
        <w:rPr>
          <w:rFonts w:ascii="Times New Roman" w:hAnsi="Times New Roman"/>
          <w:sz w:val="20"/>
        </w:rPr>
        <w:t>”), or exercise of the pre-funded warrants to purchase Common Stock which the Company may issue in lieu of the Redemption Shares (the</w:t>
      </w:r>
      <w:r>
        <w:rPr>
          <w:rFonts w:ascii="Times New Roman" w:hAnsi="Times New Roman"/>
          <w:sz w:val="20"/>
          <w:u w:val="single"/>
        </w:rPr>
        <w:t xml:space="preserve"> </w:t>
      </w:r>
      <w:r>
        <w:rPr>
          <w:rFonts w:ascii="Times New Roman" w:hAnsi="Times New Roman"/>
          <w:sz w:val="20"/>
        </w:rPr>
        <w:t>“</w:t>
      </w:r>
      <w:r>
        <w:rPr>
          <w:rFonts w:ascii="Times New Roman" w:hAnsi="Times New Roman"/>
          <w:sz w:val="20"/>
          <w:u w:val="single"/>
        </w:rPr>
        <w:t>Series P Pre-Funded Warrants</w:t>
      </w:r>
      <w:r>
        <w:rPr>
          <w:rFonts w:ascii="Times New Roman" w:hAnsi="Times New Roman"/>
          <w:sz w:val="20"/>
        </w:rPr>
        <w:t>”) in accordance with the terms of the Certificate of Designation of Preferences, Rights and Limitations of Series P Preferred Stock filed by the Company with the State of Delaware on June 8, 2026 (the “</w:t>
      </w:r>
      <w:r>
        <w:rPr>
          <w:rFonts w:ascii="Times New Roman" w:hAnsi="Times New Roman"/>
          <w:sz w:val="20"/>
          <w:u w:val="single"/>
        </w:rPr>
        <w:t>Certificate of Designation</w:t>
      </w:r>
      <w:r>
        <w:rPr>
          <w:rFonts w:ascii="Times New Roman" w:hAnsi="Times New Roman"/>
          <w:sz w:val="20"/>
        </w:rPr>
        <w:t>”), (ii) up to 72,000 shares of Common Stock (the “</w:t>
      </w:r>
      <w:r>
        <w:rPr>
          <w:rFonts w:ascii="Times New Roman" w:hAnsi="Times New Roman"/>
          <w:sz w:val="20"/>
          <w:u w:val="single"/>
        </w:rPr>
        <w:t>Commencement Shares</w:t>
      </w:r>
      <w:r>
        <w:rPr>
          <w:rFonts w:ascii="Times New Roman" w:hAnsi="Times New Roman"/>
          <w:sz w:val="20"/>
        </w:rPr>
        <w:t>”) that are issuable upon exercise of the pre-funded warrants to purchase Common Stock (the “</w:t>
      </w:r>
      <w:r>
        <w:rPr>
          <w:rFonts w:ascii="Times New Roman" w:hAnsi="Times New Roman"/>
          <w:sz w:val="20"/>
          <w:u w:val="single"/>
        </w:rPr>
        <w:t>Commencement Pre-Funded Warrants</w:t>
      </w:r>
      <w:r>
        <w:rPr>
          <w:rFonts w:ascii="Times New Roman" w:hAnsi="Times New Roman"/>
          <w:sz w:val="20"/>
        </w:rPr>
        <w:t>”), which have been issued by the Company to the Selling Stockholders as consideration for the Selling Stockholders’ execution and delivery of the Preferred Stock Purchase Agreements, and (iii) up to 1,054,946 shares of Common Stock (the “</w:t>
      </w:r>
      <w:r>
        <w:rPr>
          <w:rFonts w:ascii="Times New Roman" w:hAnsi="Times New Roman"/>
          <w:sz w:val="20"/>
          <w:u w:val="single"/>
        </w:rPr>
        <w:t>Dividend Shares</w:t>
      </w:r>
      <w:r>
        <w:rPr>
          <w:rFonts w:ascii="Times New Roman" w:hAnsi="Times New Roman"/>
          <w:sz w:val="20"/>
        </w:rPr>
        <w:t>”) that are issuable as dividends to the holders of the outstanding shares of Series P Preferred Stock or upon exercise of the pre-funded warrants to purchase Common Stock that the Company may issue in lieu of the Dividend Shares (the “</w:t>
      </w:r>
      <w:r>
        <w:rPr>
          <w:rFonts w:ascii="Times New Roman" w:hAnsi="Times New Roman"/>
          <w:sz w:val="20"/>
          <w:u w:val="single"/>
        </w:rPr>
        <w:t>Dividend Pre-Funded Warrants</w:t>
      </w:r>
      <w:r>
        <w:rPr>
          <w:rFonts w:ascii="Times New Roman" w:hAnsi="Times New Roman"/>
          <w:sz w:val="20"/>
        </w:rPr>
        <w:t xml:space="preserve">”) in accordance with the terms of the Certificate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set forth herein, we have examined originals or copies, certified or otherwise identified to our satisfaction, of such documents, corporate records, certificates of public officials and other instruments as we have deemed necessary or advisable. </w:t>
      </w:r>
    </w:p>
    <w:p>
      <w:pPr>
        <w:pStyle w:val="TextBody"/>
        <w:bidi w:val="0"/>
        <w:spacing w:before="240" w:after="0"/>
        <w:jc w:val="left"/>
        <w:rPr>
          <w:rFonts w:ascii="Times New Roman" w:hAnsi="Times New Roman"/>
          <w:sz w:val="20"/>
        </w:rPr>
      </w:pPr>
      <w:r>
        <w:rPr>
          <w:rFonts w:ascii="Times New Roman" w:hAnsi="Times New Roman"/>
          <w:sz w:val="20"/>
        </w:rPr>
        <w:t xml:space="preserve">In such examination, we have assumed the genuineness of all signatures, the legal capacity of natural persons, the authenticity of all items submitted to us as originals, the conformity with originals of all items submitted to us as copies, and the authenticity of the originals of such copies. As to any facts material to the opinions expressed herein that we did not independently establish or verify, we have relied upon statements and representations of officers and other representatives of the Company and public officials. </w:t>
      </w:r>
    </w:p>
    <w:p>
      <w:pPr>
        <w:pStyle w:val="TextBody"/>
        <w:bidi w:val="0"/>
        <w:spacing w:before="240" w:after="0"/>
        <w:jc w:val="center"/>
        <w:rPr>
          <w:rFonts w:ascii="Times New Roman" w:hAnsi="Times New Roman"/>
          <w:sz w:val="20"/>
        </w:rPr>
      </w:pPr>
      <w:r>
        <w:rPr>
          <w:rFonts w:ascii="Times New Roman" w:hAnsi="Times New Roman"/>
          <w:b/>
          <w:sz w:val="20"/>
        </w:rPr>
        <w:t xml:space="preserve">NEW YORK </w:t>
      </w:r>
      <w:r>
        <w:rPr>
          <w:rFonts w:ascii="Times New Roman" w:hAnsi="Times New Roman"/>
          <w:sz w:val="20"/>
        </w:rPr>
        <w:t xml:space="preserve">◆ </w:t>
      </w:r>
      <w:r>
        <w:rPr>
          <w:rFonts w:ascii="Times New Roman" w:hAnsi="Times New Roman"/>
          <w:b/>
          <w:sz w:val="20"/>
        </w:rPr>
        <w:t xml:space="preserve">LONDON </w:t>
      </w:r>
      <w:r>
        <w:rPr>
          <w:rFonts w:ascii="Times New Roman" w:hAnsi="Times New Roman"/>
          <w:sz w:val="20"/>
        </w:rPr>
        <w:t xml:space="preserve">◆ </w:t>
      </w:r>
      <w:r>
        <w:rPr>
          <w:rFonts w:ascii="Times New Roman" w:hAnsi="Times New Roman"/>
          <w:b/>
          <w:sz w:val="20"/>
        </w:rPr>
        <w:t xml:space="preserve">HONG KONG </w:t>
      </w:r>
      <w:r>
        <w:rPr>
          <w:rFonts w:ascii="Times New Roman" w:hAnsi="Times New Roman"/>
          <w:sz w:val="20"/>
        </w:rPr>
        <w:t xml:space="preserve">◆ </w:t>
      </w:r>
      <w:r>
        <w:rPr>
          <w:rFonts w:ascii="Times New Roman" w:hAnsi="Times New Roman"/>
          <w:b/>
          <w:sz w:val="20"/>
        </w:rPr>
        <w:t xml:space="preserve">CHICAGO </w:t>
      </w:r>
      <w:r>
        <w:rPr>
          <w:rFonts w:ascii="Times New Roman" w:hAnsi="Times New Roman"/>
          <w:sz w:val="20"/>
        </w:rPr>
        <w:t xml:space="preserve">◆ </w:t>
      </w:r>
      <w:r>
        <w:rPr>
          <w:rFonts w:ascii="Times New Roman" w:hAnsi="Times New Roman"/>
          <w:b/>
          <w:sz w:val="20"/>
        </w:rPr>
        <w:t xml:space="preserve">WASHINGTON, D.C. </w:t>
      </w:r>
      <w:r>
        <w:rPr>
          <w:rFonts w:ascii="Times New Roman" w:hAnsi="Times New Roman"/>
          <w:sz w:val="20"/>
        </w:rPr>
        <w:t xml:space="preserve">◆ </w:t>
      </w:r>
      <w:r>
        <w:rPr>
          <w:rFonts w:ascii="Times New Roman" w:hAnsi="Times New Roman"/>
          <w:b/>
          <w:sz w:val="20"/>
        </w:rPr>
        <w:t xml:space="preserve">BEIJING </w:t>
      </w:r>
      <w:r>
        <w:rPr>
          <w:rFonts w:ascii="Times New Roman" w:hAnsi="Times New Roman"/>
          <w:sz w:val="20"/>
        </w:rPr>
        <w:t xml:space="preserve">◆ </w:t>
      </w:r>
      <w:r>
        <w:rPr>
          <w:rFonts w:ascii="Times New Roman" w:hAnsi="Times New Roman"/>
          <w:b/>
          <w:sz w:val="20"/>
        </w:rPr>
        <w:t xml:space="preserve">PARIS </w:t>
      </w:r>
      <w:r>
        <w:rPr>
          <w:rFonts w:ascii="Times New Roman" w:hAnsi="Times New Roman"/>
          <w:sz w:val="20"/>
        </w:rPr>
        <w:t xml:space="preserve">◆ </w:t>
      </w:r>
      <w:r>
        <w:rPr>
          <w:rFonts w:ascii="Times New Roman" w:hAnsi="Times New Roman"/>
          <w:b/>
          <w:sz w:val="20"/>
        </w:rPr>
        <w:t xml:space="preserve">LOS ANGELES </w:t>
      </w:r>
      <w:r>
        <w:rPr>
          <w:rFonts w:ascii="Times New Roman" w:hAnsi="Times New Roman"/>
          <w:sz w:val="20"/>
        </w:rPr>
        <w:t xml:space="preserve">◆ </w:t>
      </w:r>
      <w:r>
        <w:rPr>
          <w:rFonts w:ascii="Times New Roman" w:hAnsi="Times New Roman"/>
          <w:b/>
          <w:sz w:val="20"/>
        </w:rPr>
        <w:t xml:space="preserve">SAN FRANCISCO </w:t>
      </w:r>
      <w:r>
        <w:rPr>
          <w:rFonts w:ascii="Times New Roman" w:hAnsi="Times New Roman"/>
          <w:sz w:val="20"/>
        </w:rPr>
        <w:t xml:space="preserve">◆ </w:t>
      </w:r>
      <w:r>
        <w:rPr>
          <w:rFonts w:ascii="Times New Roman" w:hAnsi="Times New Roman"/>
          <w:b/>
          <w:sz w:val="20"/>
        </w:rPr>
        <w:t xml:space="preserve">PHILADELPHIA </w:t>
      </w:r>
      <w:r>
        <w:rPr>
          <w:rFonts w:ascii="Times New Roman" w:hAnsi="Times New Roman"/>
          <w:sz w:val="20"/>
        </w:rPr>
        <w:t xml:space="preserve">◆ </w:t>
      </w:r>
      <w:r>
        <w:rPr>
          <w:rFonts w:ascii="Times New Roman" w:hAnsi="Times New Roman"/>
          <w:b/>
          <w:sz w:val="20"/>
        </w:rPr>
        <w:t xml:space="preserve">SHANGHAI </w:t>
      </w:r>
      <w:r>
        <w:rPr>
          <w:rFonts w:ascii="Times New Roman" w:hAnsi="Times New Roman"/>
          <w:sz w:val="20"/>
        </w:rPr>
        <w:t xml:space="preserve">◆ </w:t>
      </w:r>
      <w:r>
        <w:rPr>
          <w:rFonts w:ascii="Times New Roman" w:hAnsi="Times New Roman"/>
          <w:b/>
          <w:sz w:val="20"/>
        </w:rPr>
        <w:t xml:space="preserve">PITTSBURGH </w:t>
      </w:r>
      <w:r>
        <w:rPr>
          <w:rFonts w:ascii="Times New Roman" w:hAnsi="Times New Roman"/>
          <w:sz w:val="20"/>
        </w:rPr>
        <w:t xml:space="preserve">◆ </w:t>
      </w:r>
      <w:r>
        <w:rPr>
          <w:rFonts w:ascii="Times New Roman" w:hAnsi="Times New Roman"/>
          <w:b/>
          <w:sz w:val="20"/>
        </w:rPr>
        <w:t xml:space="preserve">HOUSTON SINGAPORE </w:t>
      </w:r>
      <w:r>
        <w:rPr>
          <w:rFonts w:ascii="Times New Roman" w:hAnsi="Times New Roman"/>
          <w:sz w:val="20"/>
        </w:rPr>
        <w:t xml:space="preserve">◆ </w:t>
      </w:r>
      <w:r>
        <w:rPr>
          <w:rFonts w:ascii="Times New Roman" w:hAnsi="Times New Roman"/>
          <w:b/>
          <w:sz w:val="20"/>
        </w:rPr>
        <w:t xml:space="preserve">MUNICH </w:t>
      </w:r>
      <w:r>
        <w:rPr>
          <w:rFonts w:ascii="Times New Roman" w:hAnsi="Times New Roman"/>
          <w:sz w:val="20"/>
        </w:rPr>
        <w:t xml:space="preserve">◆ </w:t>
      </w:r>
      <w:r>
        <w:rPr>
          <w:rFonts w:ascii="Times New Roman" w:hAnsi="Times New Roman"/>
          <w:b/>
          <w:sz w:val="20"/>
        </w:rPr>
        <w:t xml:space="preserve">ABU DHABI </w:t>
      </w:r>
      <w:r>
        <w:rPr>
          <w:rFonts w:ascii="Times New Roman" w:hAnsi="Times New Roman"/>
          <w:sz w:val="20"/>
        </w:rPr>
        <w:t xml:space="preserve">◆ </w:t>
      </w:r>
      <w:r>
        <w:rPr>
          <w:rFonts w:ascii="Times New Roman" w:hAnsi="Times New Roman"/>
          <w:b/>
          <w:sz w:val="20"/>
        </w:rPr>
        <w:t xml:space="preserve">PRINCETON </w:t>
      </w:r>
      <w:r>
        <w:rPr>
          <w:rFonts w:ascii="Times New Roman" w:hAnsi="Times New Roman"/>
          <w:sz w:val="20"/>
        </w:rPr>
        <w:t xml:space="preserve">◆ </w:t>
      </w:r>
      <w:r>
        <w:rPr>
          <w:rFonts w:ascii="Times New Roman" w:hAnsi="Times New Roman"/>
          <w:b/>
          <w:sz w:val="20"/>
        </w:rPr>
        <w:t xml:space="preserve">NORTHERN VIRGINIA </w:t>
      </w:r>
      <w:r>
        <w:rPr>
          <w:rFonts w:ascii="Times New Roman" w:hAnsi="Times New Roman"/>
          <w:sz w:val="20"/>
        </w:rPr>
        <w:t xml:space="preserve">◆ </w:t>
      </w:r>
      <w:r>
        <w:rPr>
          <w:rFonts w:ascii="Times New Roman" w:hAnsi="Times New Roman"/>
          <w:b/>
          <w:sz w:val="20"/>
        </w:rPr>
        <w:t xml:space="preserve">WILMINGTON </w:t>
      </w:r>
      <w:r>
        <w:rPr>
          <w:rFonts w:ascii="Times New Roman" w:hAnsi="Times New Roman"/>
          <w:sz w:val="20"/>
        </w:rPr>
        <w:t xml:space="preserve">◆ </w:t>
      </w:r>
      <w:r>
        <w:rPr>
          <w:rFonts w:ascii="Times New Roman" w:hAnsi="Times New Roman"/>
          <w:b/>
          <w:sz w:val="20"/>
        </w:rPr>
        <w:t xml:space="preserve">SILICON VALLEY </w:t>
      </w:r>
      <w:r>
        <w:rPr>
          <w:rFonts w:ascii="Times New Roman" w:hAnsi="Times New Roman"/>
          <w:sz w:val="20"/>
        </w:rPr>
        <w:t xml:space="preserve">◆ </w:t>
      </w:r>
      <w:r>
        <w:rPr>
          <w:rFonts w:ascii="Times New Roman" w:hAnsi="Times New Roman"/>
          <w:b/>
          <w:sz w:val="20"/>
        </w:rPr>
        <w:t xml:space="preserve">DUBAI </w:t>
      </w:r>
      <w:r>
        <w:rPr>
          <w:rFonts w:ascii="Times New Roman" w:hAnsi="Times New Roman"/>
          <w:sz w:val="20"/>
        </w:rPr>
        <w:t xml:space="preserve">◆ </w:t>
      </w:r>
      <w:r>
        <w:rPr>
          <w:rFonts w:ascii="Times New Roman" w:hAnsi="Times New Roman"/>
          <w:b/>
          <w:sz w:val="20"/>
        </w:rPr>
        <w:t xml:space="preserve">CENTURY CITY </w:t>
      </w:r>
      <w:r>
        <w:rPr>
          <w:rFonts w:ascii="Times New Roman" w:hAnsi="Times New Roman"/>
          <w:sz w:val="20"/>
        </w:rPr>
        <w:t xml:space="preserve">◆ </w:t>
      </w:r>
      <w:r>
        <w:rPr>
          <w:rFonts w:ascii="Times New Roman" w:hAnsi="Times New Roman"/>
          <w:b/>
          <w:sz w:val="20"/>
        </w:rPr>
        <w:t xml:space="preserve">RICHMOND </w:t>
      </w:r>
      <w:r>
        <w:rPr>
          <w:rFonts w:ascii="Times New Roman" w:hAnsi="Times New Roman"/>
          <w:sz w:val="20"/>
        </w:rPr>
        <w:t xml:space="preserve">◆ </w:t>
      </w:r>
      <w:r>
        <w:rPr>
          <w:rFonts w:ascii="Times New Roman" w:hAnsi="Times New Roman"/>
          <w:b/>
          <w:sz w:val="20"/>
        </w:rPr>
        <w:t xml:space="preserve">GREECE </w:t>
      </w:r>
      <w:r>
        <w:rPr>
          <w:rFonts w:ascii="Times New Roman" w:hAnsi="Times New Roman"/>
          <w:sz w:val="20"/>
        </w:rPr>
        <w:t xml:space="preserve">◆ </w:t>
      </w:r>
      <w:r>
        <w:rPr>
          <w:rFonts w:ascii="Times New Roman" w:hAnsi="Times New Roman"/>
          <w:b/>
          <w:sz w:val="20"/>
        </w:rPr>
        <w:t xml:space="preserve">KAZAKHSTAN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966"/>
        <w:gridCol w:w="123"/>
        <w:gridCol w:w="5116"/>
      </w:tblGrid>
      <w:tr>
        <w:trPr/>
        <w:tc>
          <w:tcPr>
            <w:tcW w:w="496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116" w:type="dxa"/>
            <w:tcBorders/>
            <w:vAlign w:val="center"/>
          </w:tcPr>
          <w:p>
            <w:pPr>
              <w:pStyle w:val="TableContents"/>
              <w:bidi w:val="0"/>
              <w:spacing w:before="0" w:after="283"/>
              <w:jc w:val="left"/>
              <w:rPr>
                <w:sz w:val="4"/>
                <w:szCs w:val="4"/>
              </w:rPr>
            </w:pPr>
            <w:r>
              <w:rPr>
                <w:sz w:val="4"/>
                <w:szCs w:val="4"/>
              </w:rPr>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Jaguar Health, Inc.</w:t>
            </w:r>
          </w:p>
          <w:p>
            <w:pPr>
              <w:pStyle w:val="TableContents"/>
              <w:bidi w:val="0"/>
              <w:spacing w:before="0" w:after="20"/>
              <w:jc w:val="left"/>
              <w:rPr>
                <w:rFonts w:ascii="Times New Roman" w:hAnsi="Times New Roman"/>
                <w:sz w:val="20"/>
              </w:rPr>
            </w:pPr>
            <w:r>
              <w:rPr>
                <w:rFonts w:ascii="Times New Roman" w:hAnsi="Times New Roman"/>
                <w:sz w:val="20"/>
              </w:rPr>
              <w:t>July 15, 2026 Page 2</w:t>
            </w:r>
          </w:p>
        </w:tc>
        <w:tc>
          <w:tcPr>
            <w:tcW w:w="123" w:type="dxa"/>
            <w:tcBorders/>
            <w:vAlign w:val="bottom"/>
          </w:tcPr>
          <w:p>
            <w:pPr>
              <w:pStyle w:val="TableContents"/>
              <w:bidi w:val="0"/>
              <w:spacing w:before="0" w:after="283"/>
              <w:jc w:val="left"/>
              <w:rPr/>
            </w:pPr>
            <w:r>
              <w:rPr/>
              <w:t>  </w:t>
            </w:r>
          </w:p>
        </w:tc>
        <w:tc>
          <w:tcPr>
            <w:tcW w:w="5116" w:type="dxa"/>
            <w:tcBorders/>
          </w:tcPr>
          <w:p>
            <w:pPr>
              <w:pStyle w:val="TableContents"/>
              <w:bidi w:val="0"/>
              <w:spacing w:before="0" w:after="283"/>
              <w:jc w:val="right"/>
              <w:rPr/>
            </w:pPr>
            <w:r>
              <w:rPr/>
              <w:drawing>
                <wp:inline distT="0" distB="0" distL="0" distR="0">
                  <wp:extent cx="1552575" cy="323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68"/>
                          <a:stretch>
                            <a:fillRect/>
                          </a:stretch>
                        </pic:blipFill>
                        <pic:spPr bwMode="auto">
                          <a:xfrm>
                            <a:off x="0" y="0"/>
                            <a:ext cx="1552575" cy="32385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based solely on the General Corporation Law of the State of Delaware (including all related provisions of the Delaware Constitution and all reported judicial decisions interpreting the General Corporation Law of the State of Delaware and the Delaware Constitution) and, solely with respect to the Series P Pre-Funded Warrants, the Commencement Pre-Funded Warrants and the Dividend Pre-Funded Warrants,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(i) the Redemption Shares have been duly authorized for issuance and, when issued upon redemption of shares of Series P Preferred Stock or upon exercise of the Series P Pre-Funded Warrants in accordance with the terms of the Preferred Stock Purchase Agreements, the Certificate of Designation and Series P Pre-Funded Warrants, will be validly issued, fully paid, and nonassessable, (ii) the Commencement Shares have been duly authorized for issuance and, when issued upon exercise of the Commencement Pre-Funded Warrants in accordance with the terms thereof, will be validly issued, fully paid, and nonassessable, and (iii) the Dividend Shares have been duly authorized for issuance and, when issued as dividends or upon exercise of the Dividend Pre-Funded Warrants in accordance with the terms of the Preferred Stock Purchase Agreements and the Certificate of Designation,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inclusion of this opinion as an exhibit to the Registration Statement and further consent to all references to us under the caption “Legal Matters” in the Prospectus. In giving this consent, we do not admit that we are in the category of persons whose consent is required under Section 7 of the Securities Act or the rules and regulations of the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Reed Smith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Reed Smith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Legal Op:</w:t>
            </w:r>
          </w:p>
        </w:tc>
      </w:tr>
      <w:tr>
        <w:trPr/>
        <w:tc>
          <w:tcPr>
            <w:tcW w:w="4082" w:type="dxa"/>
            <w:tcBorders/>
          </w:tcPr>
          <w:p>
            <w:pPr>
              <w:pStyle w:val="TableContents"/>
              <w:bidi w:val="0"/>
              <w:spacing w:before="0" w:after="283"/>
              <w:jc w:val="left"/>
              <w:rPr/>
            </w:pPr>
            <w:r>
              <w:rPr/>
              <w:t>MSL/LD/KEG</w:t>
            </w:r>
          </w:p>
        </w:tc>
      </w:tr>
    </w:tbl>
    <w:p>
      <w:pPr>
        <w:pStyle w:val="TextBody"/>
        <w:bidi w:val="0"/>
        <w:spacing w:before="0" w:after="0"/>
        <w:jc w:val="right"/>
        <w:rPr>
          <w:rFonts w:ascii="Times New Roman" w:hAnsi="Times New Roman"/>
          <w:b/>
          <w:sz w:val="20"/>
        </w:rPr>
      </w:pPr>
      <w:bookmarkStart w:id="20" w:name="d117884dex231.htm"/>
      <w:bookmarkStart w:id="21" w:name="ksd117884dex231"/>
      <w:bookmarkEnd w:id="20"/>
      <w:bookmarkEnd w:id="21"/>
      <w:r>
        <w:rPr>
          <w:rFonts w:ascii="Times New Roman" w:hAnsi="Times New Roman"/>
          <w:b/>
          <w:sz w:val="20"/>
        </w:rPr>
        <w:t xml:space="preserve">Exhibit 23.1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505075" cy="676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69"/>
                    <a:stretch>
                      <a:fillRect/>
                    </a:stretch>
                  </pic:blipFill>
                  <pic:spPr bwMode="auto">
                    <a:xfrm>
                      <a:off x="0" y="0"/>
                      <a:ext cx="2505075" cy="6762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S-1 of our report dated April 7, 2026 with respect to the audited consolidated financial statements of Jaguar Health, Inc. as of and for the years ended December 31, 2025 and 2024 (which report includes and explanatory paragraph regarding the company’s ability to continue as going concern).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references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RBSM LLP </w:t>
      </w:r>
    </w:p>
    <w:p>
      <w:pPr>
        <w:pStyle w:val="TextBody"/>
        <w:bidi w:val="0"/>
        <w:spacing w:before="240" w:after="0"/>
        <w:jc w:val="left"/>
        <w:rPr>
          <w:rFonts w:ascii="Times New Roman" w:hAnsi="Times New Roman"/>
          <w:sz w:val="20"/>
        </w:rPr>
      </w:pPr>
      <w:r>
        <w:rPr>
          <w:rFonts w:ascii="Times New Roman" w:hAnsi="Times New Roman"/>
          <w:sz w:val="20"/>
        </w:rPr>
        <w:t>Larkspur, California</w:t>
      </w:r>
    </w:p>
    <w:p>
      <w:pPr>
        <w:pStyle w:val="TextBody"/>
        <w:bidi w:val="0"/>
        <w:spacing w:before="0" w:after="0"/>
        <w:jc w:val="left"/>
        <w:rPr>
          <w:rFonts w:ascii="Times New Roman" w:hAnsi="Times New Roman"/>
          <w:sz w:val="20"/>
        </w:rPr>
      </w:pPr>
      <w:r>
        <w:rPr>
          <w:rFonts w:ascii="Times New Roman" w:hAnsi="Times New Roman"/>
          <w:sz w:val="20"/>
        </w:rPr>
        <w:t xml:space="preserve">July 15th, 2026 </w:t>
      </w:r>
    </w:p>
    <w:p>
      <w:pPr>
        <w:pStyle w:val="Normal"/>
        <w:bidi w:val="0"/>
        <w:spacing w:before="0" w:after="0"/>
        <w:jc w:val="left"/>
        <w:rPr>
          <w:sz w:val="4"/>
          <w:szCs w:val="4"/>
        </w:rPr>
      </w:pPr>
      <w:r>
        <w:rPr>
          <w:sz w:val="4"/>
          <w:szCs w:val="4"/>
        </w:rPr>
      </w:r>
      <w:bookmarkStart w:id="22" w:name="d117884dexfilingfees.htm"/>
      <w:bookmarkStart w:id="23" w:name="ksd117884dexfilingfees"/>
      <w:bookmarkStart w:id="24" w:name="d117884dexfilingfees.htm"/>
      <w:bookmarkStart w:id="25" w:name="ksd117884dexfilingfees"/>
      <w:bookmarkEnd w:id="24"/>
      <w:bookmarkEnd w:id="25"/>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Jaguar Health,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89"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46" w:type="dxa"/>
            <w:tcBorders/>
            <w:shd w:fill="E7E7E2" w:val="clear"/>
            <w:vAlign w:val="center"/>
          </w:tcPr>
          <w:p>
            <w:pPr>
              <w:pStyle w:val="TableContents"/>
              <w:bidi w:val="0"/>
              <w:spacing w:before="0" w:after="283"/>
              <w:jc w:val="left"/>
              <w:rPr/>
            </w:pPr>
            <w:r>
              <w:rPr/>
              <w:t xml:space="preserve">Voting 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5,522,551 </w:t>
            </w:r>
          </w:p>
        </w:tc>
        <w:tc>
          <w:tcPr>
            <w:tcW w:w="1156" w:type="dxa"/>
            <w:tcBorders/>
            <w:shd w:fill="E7E7E2" w:val="clear"/>
            <w:vAlign w:val="center"/>
          </w:tcPr>
          <w:p>
            <w:pPr>
              <w:pStyle w:val="TableContents"/>
              <w:bidi w:val="0"/>
              <w:spacing w:before="0" w:after="283"/>
              <w:jc w:val="right"/>
              <w:rPr/>
            </w:pPr>
            <w:r>
              <w:rPr/>
              <w:t xml:space="preserve">$ 2.20 </w:t>
            </w:r>
          </w:p>
        </w:tc>
        <w:tc>
          <w:tcPr>
            <w:tcW w:w="1666" w:type="dxa"/>
            <w:tcBorders/>
            <w:shd w:fill="E7E7E2" w:val="clear"/>
            <w:vAlign w:val="center"/>
          </w:tcPr>
          <w:p>
            <w:pPr>
              <w:pStyle w:val="TableContents"/>
              <w:bidi w:val="0"/>
              <w:spacing w:before="0" w:after="283"/>
              <w:jc w:val="right"/>
              <w:rPr/>
            </w:pPr>
            <w:r>
              <w:rPr/>
              <w:t xml:space="preserve">$ 12,149,612.20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$ 1,677.86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6" w:name="MaxAggtOfferingPrice"/>
            <w:bookmarkEnd w:id="26"/>
            <w:r>
              <w:rPr/>
              <w:t xml:space="preserve">$ 12,149,612.20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$ 1,677.86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PreviouslyPaid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Offset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NetFeeAmt"/>
            <w:bookmarkEnd w:id="30"/>
            <w:r>
              <w:rPr/>
              <w:t xml:space="preserve">$ 1,677.86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8"/>
        <w:gridCol w:w="8705"/>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 Pursuant to Rule 416 under the Securities Act of 1933, as amended (the "Securities Act"), the shares being registered hereunder include such indeterminate number of shares of common stock, par value $0.0001 per share (the "Common Stock"), as may be issuable with respect to the shares being registered hereunder as a result of stock splits, stock dividends or similar transactions. (2) Estimated solely for the purpose of calculating the registration fee pursuant to Rule 457(c) under the Securities Act of 1933, as amended, based on the average of the high and low prices of the registrant's voting common stock as quoted on The Nasdaq Capital Market on July 14, 2026 (such date being within five business days of the date that this registration statement was filed with the Securities and Exchange Commission).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85608/000119312526144470/jagx-20251231.htm" TargetMode="External"/><Relationship Id="rId4" Type="http://schemas.openxmlformats.org/officeDocument/2006/relationships/hyperlink" Target="http://www.sec.gov/Archives/edgar/data/../../../ix?doc=/Archives/edgar/data/1585608/000119312526232560/jagx-20260331.htm" TargetMode="External"/><Relationship Id="rId5" Type="http://schemas.openxmlformats.org/officeDocument/2006/relationships/hyperlink" Target="http://www.sec.gov/Archives/edgar/data/../../../ix?doc=/Archives/edgar/data/1585608/000119312526122184/d22104ddef14a.htm" TargetMode="External"/><Relationship Id="rId6" Type="http://schemas.openxmlformats.org/officeDocument/2006/relationships/hyperlink" Target="http://www.sec.gov/Archives/edgar/data/../../../ix?doc=/Archives/edgar/data/1585608/000119312526192753/d70657ddef14a.htm" TargetMode="External"/><Relationship Id="rId7" Type="http://schemas.openxmlformats.org/officeDocument/2006/relationships/hyperlink" Target="http://www.sec.gov/Archives/edgar/data/1585608/000119312526207621/d104009ddefa14a.htm" TargetMode="External"/><Relationship Id="rId8" Type="http://schemas.openxmlformats.org/officeDocument/2006/relationships/hyperlink" Target="http://www.sec.gov/Archives/edgar/data/1585608/000119312526248883/d115751ddefa14a.htm" TargetMode="External"/><Relationship Id="rId9" Type="http://schemas.openxmlformats.org/officeDocument/2006/relationships/hyperlink" Target="http://www.sec.gov/Archives/edgar/data/../../../ix?doc=/Archives/edgar/data/1585608/000119312526009221/jagx-20260105.htm" TargetMode="External"/><Relationship Id="rId10" Type="http://schemas.openxmlformats.org/officeDocument/2006/relationships/hyperlink" Target="http://www.sec.gov/Archives/edgar/data/1585608/000119312526009644/jagx-20260112.htm" TargetMode="External"/><Relationship Id="rId11" Type="http://schemas.openxmlformats.org/officeDocument/2006/relationships/hyperlink" Target="http://www.sec.gov/Archives/edgar/data/../../../ix?doc=/Archives/edgar/data/1585608/000119312526014231/jagx-20260112.htm" TargetMode="External"/><Relationship Id="rId12" Type="http://schemas.openxmlformats.org/officeDocument/2006/relationships/hyperlink" Target="http://www.sec.gov/Archives/edgar/data/../../../ix?doc=/Archives/edgar/data/1585608/000119312526021064/jagx-20260116.htm" TargetMode="External"/><Relationship Id="rId13" Type="http://schemas.openxmlformats.org/officeDocument/2006/relationships/hyperlink" Target="http://www.sec.gov/Archives/edgar/data/../../../ix?doc=/Archives/edgar/data/1585608/000119312526056157/d70748d8k.htm" TargetMode="External"/><Relationship Id="rId14" Type="http://schemas.openxmlformats.org/officeDocument/2006/relationships/hyperlink" Target="http://www.sec.gov/Archives/edgar/data/../../../ix?doc=/Archives/edgar/data/1585608/000119312526086882/d236488d8k.htm" TargetMode="External"/><Relationship Id="rId15" Type="http://schemas.openxmlformats.org/officeDocument/2006/relationships/hyperlink" Target="http://www.sec.gov/Archives/edgar/data/../../../ix?doc=/Archives/edgar/data/1585608/000119312526096565/d62332d8k.htm" TargetMode="External"/><Relationship Id="rId16" Type="http://schemas.openxmlformats.org/officeDocument/2006/relationships/hyperlink" Target="http://www.sec.gov/Archives/edgar/data/../../../ix?doc=/Archives/edgar/data/1585608/000119312526097700/d89977d8k.htm" TargetMode="External"/><Relationship Id="rId17" Type="http://schemas.openxmlformats.org/officeDocument/2006/relationships/hyperlink" Target="http://www.sec.gov/Archives/edgar/data/../../../ix?doc=/Archives/edgar/data/1585608/000119312526144604/d111491d8k.htm" TargetMode="External"/><Relationship Id="rId18" Type="http://schemas.openxmlformats.org/officeDocument/2006/relationships/hyperlink" Target="http://www.sec.gov/Archives/edgar/data/../../../ix?doc=/Archives/edgar/data/1585608/000119312526149828/d145473d8k.htm" TargetMode="External"/><Relationship Id="rId19" Type="http://schemas.openxmlformats.org/officeDocument/2006/relationships/hyperlink" Target="http://www.sec.gov/Archives/edgar/data/../../../ix?doc=/Archives/edgar/data/1585608/000119312526165120/d10648d8k.htm" TargetMode="External"/><Relationship Id="rId20" Type="http://schemas.openxmlformats.org/officeDocument/2006/relationships/hyperlink" Target="http://www.sec.gov/Archives/edgar/data/../../../ix?doc=/Archives/edgar/data/1585608/000119312526179391/d109088d8k.htm" TargetMode="External"/><Relationship Id="rId21" Type="http://schemas.openxmlformats.org/officeDocument/2006/relationships/hyperlink" Target="http://www.sec.gov/Archives/edgar/data/../../../ix?doc=/Archives/edgar/data/1585608/000119312526202614/d46623d8k.htm" TargetMode="External"/><Relationship Id="rId22" Type="http://schemas.openxmlformats.org/officeDocument/2006/relationships/hyperlink" Target="http://www.sec.gov/Archives/edgar/data/../../../ix?doc=/Archives/edgar/data/1585608/000119312526211545/d55784d8k.htm" TargetMode="External"/><Relationship Id="rId23" Type="http://schemas.openxmlformats.org/officeDocument/2006/relationships/hyperlink" Target="http://www.sec.gov/Archives/edgar/data/../../../ix?doc=/Archives/edgar/data/1585608/000119312526231083/d227929d8k.htm" TargetMode="External"/><Relationship Id="rId24" Type="http://schemas.openxmlformats.org/officeDocument/2006/relationships/hyperlink" Target="http://www.sec.gov/Archives/edgar/data/../../../ix?doc=/Archives/edgar/data/1585608/000119312526237195/d138181d8k.htm" TargetMode="External"/><Relationship Id="rId25" Type="http://schemas.openxmlformats.org/officeDocument/2006/relationships/hyperlink" Target="http://www.sec.gov/Archives/edgar/data/../../../ix?doc=/Archives/edgar/data/1585608/000119312526240645/d129501d8k.htm" TargetMode="External"/><Relationship Id="rId26" Type="http://schemas.openxmlformats.org/officeDocument/2006/relationships/hyperlink" Target="http://www.sec.gov/Archives/edgar/data/../../../ix?doc=/Archives/edgar/data/1585608/000119312526253506/d95782d8k.htm" TargetMode="External"/><Relationship Id="rId27" Type="http://schemas.openxmlformats.org/officeDocument/2006/relationships/hyperlink" Target="http://www.sec.gov/Archives/edgar/data/../../../ix?doc=/Archives/edgar/data/1585608/000119312526261910/d85703d8k.htm" TargetMode="External"/><Relationship Id="rId28" Type="http://schemas.openxmlformats.org/officeDocument/2006/relationships/hyperlink" Target="http://www.sec.gov/Archives/edgar/data/../../../ix?doc=/Archives/edgar/data/1585608/000119312526266770/d570985d8k.htm" TargetMode="External"/><Relationship Id="rId29" Type="http://schemas.openxmlformats.org/officeDocument/2006/relationships/hyperlink" Target="http://www.sec.gov/Archives/edgar/data/../../../ix?doc=/Archives/edgar/data/1585608/000119312526276103/d111863d8k.htm" TargetMode="External"/><Relationship Id="rId30" Type="http://schemas.openxmlformats.org/officeDocument/2006/relationships/hyperlink" Target="http://www.sec.gov/Archives/edgar/data/../../../ix?doc=/Archives/edgar/data/1585608/000119312526276845/d27128d8k.htm" TargetMode="External"/><Relationship Id="rId31" Type="http://schemas.openxmlformats.org/officeDocument/2006/relationships/hyperlink" Target="http://www.sec.gov/Archives/edgar/data/../../../ix?doc=/Archives/edgar/data/1585608/000119312526010173/jagx-20260106.htm" TargetMode="External"/><Relationship Id="rId32" Type="http://schemas.openxmlformats.org/officeDocument/2006/relationships/hyperlink" Target="http://www.sec.gov/Archives/edgar/data/../../../ix?doc=/Archives/edgar/data/1585608/000119312526277570/d121487d8ka.htm" TargetMode="External"/><Relationship Id="rId33" Type="http://schemas.openxmlformats.org/officeDocument/2006/relationships/image" Target="media/image1.jpeg"/><Relationship Id="rId34" Type="http://schemas.openxmlformats.org/officeDocument/2006/relationships/hyperlink" Target="http://www.sec.gov/Archives/edgar/data/1585608/000104746917002234/a2231636zex-2_1.htm" TargetMode="External"/><Relationship Id="rId35" Type="http://schemas.openxmlformats.org/officeDocument/2006/relationships/hyperlink" Target="http://www.sec.gov/Archives/edgar/data/1585608/000110465917048146/a17-18650_1ex3d1.htm" TargetMode="External"/><Relationship Id="rId36" Type="http://schemas.openxmlformats.org/officeDocument/2006/relationships/hyperlink" Target="http://www.sec.gov/Archives/edgar/data/1585608/000104746918002654/a2235058zex-3_2.htm" TargetMode="External"/><Relationship Id="rId37" Type="http://schemas.openxmlformats.org/officeDocument/2006/relationships/hyperlink" Target="http://www.sec.gov/Archives/edgar/data/1585608/000110465918037457/a18-14619_1ex3d1.htm" TargetMode="External"/><Relationship Id="rId38" Type="http://schemas.openxmlformats.org/officeDocument/2006/relationships/hyperlink" Target="http://www.sec.gov/Archives/edgar/data/1585608/000110465918037457/a18-14619_1ex3d2.htm" TargetMode="External"/><Relationship Id="rId39" Type="http://schemas.openxmlformats.org/officeDocument/2006/relationships/hyperlink" Target="http://www.sec.gov/Archives/edgar/data/1585608/000110465919034310/a19-11153_1ex3d1.htm" TargetMode="External"/><Relationship Id="rId40" Type="http://schemas.openxmlformats.org/officeDocument/2006/relationships/hyperlink" Target="http://www.sec.gov/Archives/edgar/data/1585608/000114420415032005/v410855_ex3-2.htm" TargetMode="External"/><Relationship Id="rId41" Type="http://schemas.openxmlformats.org/officeDocument/2006/relationships/hyperlink" Target="http://www.sec.gov/Archives/edgar/data/1585608/000110465920101650/a20-30008_1ex3d1.htm" TargetMode="External"/><Relationship Id="rId42" Type="http://schemas.openxmlformats.org/officeDocument/2006/relationships/hyperlink" Target="http://www.sec.gov/Archives/edgar/data/1585608/000110465920101650/a20-30008_1ex3d2.htm" TargetMode="External"/><Relationship Id="rId43" Type="http://schemas.openxmlformats.org/officeDocument/2006/relationships/hyperlink" Target="http://www.sec.gov/Archives/edgar/data/1585608/000110465920103492/a20-30008_3ex3d1.htm" TargetMode="External"/><Relationship Id="rId44" Type="http://schemas.openxmlformats.org/officeDocument/2006/relationships/hyperlink" Target="http://www.sec.gov/Archives/edgar/data/1585608/000110465920133964/a20-37959_1ex3d1.htm" TargetMode="External"/><Relationship Id="rId45" Type="http://schemas.openxmlformats.org/officeDocument/2006/relationships/hyperlink" Target="http://www.sec.gov/Archives/edgar/data/1585608/000110465921113000/tm2126958d1_ex3-1.htm" TargetMode="External"/><Relationship Id="rId46" Type="http://schemas.openxmlformats.org/officeDocument/2006/relationships/hyperlink" Target="http://www.sec.gov/Archives/edgar/data/1585608/000110465922035625/tm229716d1_ex3-1.htm" TargetMode="External"/><Relationship Id="rId47" Type="http://schemas.openxmlformats.org/officeDocument/2006/relationships/hyperlink" Target="http://www.sec.gov/Archives/edgar/data/1585608/000110465922093712/tm2224333d1_ex3-1.htm" TargetMode="External"/><Relationship Id="rId48" Type="http://schemas.openxmlformats.org/officeDocument/2006/relationships/hyperlink" Target="http://www.sec.gov/Archives/edgar/data/1585608/000110465922104637/tm2227154d1_ex3-1.htm" TargetMode="External"/><Relationship Id="rId49" Type="http://schemas.openxmlformats.org/officeDocument/2006/relationships/hyperlink" Target="http://www.sec.gov/Archives/edgar/data/1585608/000110465922119584/tm2229955d2_ex3-1.htm" TargetMode="External"/><Relationship Id="rId50" Type="http://schemas.openxmlformats.org/officeDocument/2006/relationships/hyperlink" Target="http://www.sec.gov/Archives/edgar/data/1585608/000110465923005489/tm234025d1_ex3-1.htm" TargetMode="External"/><Relationship Id="rId51" Type="http://schemas.openxmlformats.org/officeDocument/2006/relationships/hyperlink" Target="http://www.sec.gov/Archives/edgar/data/1585608/000110465923057501/tm2315061d1_ex3-1.htm" TargetMode="External"/><Relationship Id="rId52" Type="http://schemas.openxmlformats.org/officeDocument/2006/relationships/hyperlink" Target="http://www.sec.gov/Archives/edgar/data/1585608/000110465923077663/tm2320100d1_ex3-1.htm" TargetMode="External"/><Relationship Id="rId53" Type="http://schemas.openxmlformats.org/officeDocument/2006/relationships/hyperlink" Target="http://www.sec.gov/Archives/edgar/data/1585608/000110465923107248/tm2327745d1_ex3-1.htm" TargetMode="External"/><Relationship Id="rId54" Type="http://schemas.openxmlformats.org/officeDocument/2006/relationships/hyperlink" Target="http://www.sec.gov/Archives/edgar/data/1585608/000110465924030064/tm247635d1_ex3-1.htm" TargetMode="External"/><Relationship Id="rId55" Type="http://schemas.openxmlformats.org/officeDocument/2006/relationships/hyperlink" Target="http://www.sec.gov/Archives/edgar/data/1585608/000110465924064484/tm2415080d1_ex3-1.htm" TargetMode="External"/><Relationship Id="rId56" Type="http://schemas.openxmlformats.org/officeDocument/2006/relationships/hyperlink" Target="http://www.sec.gov/Archives/edgar/data/1585608/000095017025028403/jagx-ex3_1.htm" TargetMode="External"/><Relationship Id="rId57" Type="http://schemas.openxmlformats.org/officeDocument/2006/relationships/hyperlink" Target="http://www.sec.gov/Archives/edgar/data/1585608/000095017025040784/jagx-ex3_1.htm" TargetMode="External"/><Relationship Id="rId58" Type="http://schemas.openxmlformats.org/officeDocument/2006/relationships/hyperlink" Target="http://www.sec.gov/Archives/edgar/data/1585608/000119312525120763/d63848dex31.htm" TargetMode="External"/><Relationship Id="rId59" Type="http://schemas.openxmlformats.org/officeDocument/2006/relationships/hyperlink" Target="http://www.sec.gov/Archives/edgar/data/1585608/000119312525152345/d14926dex31.htm" TargetMode="External"/><Relationship Id="rId60" Type="http://schemas.openxmlformats.org/officeDocument/2006/relationships/hyperlink" Target="http://www.sec.gov/Archives/edgar/data/1585608/000119312525201351/d947025dex31.htm" TargetMode="External"/><Relationship Id="rId61" Type="http://schemas.openxmlformats.org/officeDocument/2006/relationships/hyperlink" Target="http://www.sec.gov/Archives/edgar/data/1585608/000119312526086882/d236488dex31.htm" TargetMode="External"/><Relationship Id="rId62" Type="http://schemas.openxmlformats.org/officeDocument/2006/relationships/hyperlink" Target="http://www.sec.gov/Archives/edgar/data/1585608/000119312526165120/d10648dex31.htm" TargetMode="External"/><Relationship Id="rId63" Type="http://schemas.openxmlformats.org/officeDocument/2006/relationships/hyperlink" Target="http://www.sec.gov/Archives/edgar/data/1585608/000119312526179391/d109088dex31.htm" TargetMode="External"/><Relationship Id="rId64" Type="http://schemas.openxmlformats.org/officeDocument/2006/relationships/hyperlink" Target="http://www.sec.gov/Archives/edgar/data/1585608/000119312526231083/d227929dex31.htm" TargetMode="External"/><Relationship Id="rId65" Type="http://schemas.openxmlformats.org/officeDocument/2006/relationships/hyperlink" Target="http://www.sec.gov/Archives/edgar/data/1585608/000119312526266770/d570985dex31.htm" TargetMode="External"/><Relationship Id="rId66" Type="http://schemas.openxmlformats.org/officeDocument/2006/relationships/hyperlink" Target="http://www.sec.gov/Archives/edgar/data/1585608/000110465917048146/a17-18650_1ex4d1.htm" TargetMode="External"/><Relationship Id="rId67" Type="http://schemas.openxmlformats.org/officeDocument/2006/relationships/hyperlink" Target="http://www.sec.gov/Archives/edgar/data/1585608/000110465918055082/a18-24125_1ex4d1.htm" TargetMode="External"/><Relationship Id="rId68" Type="http://schemas.openxmlformats.org/officeDocument/2006/relationships/hyperlink" Target="http://www.sec.gov/Archives/edgar/data/1585608/000110465918056318/a18-28069_1ex4d3.htm" TargetMode="External"/><Relationship Id="rId69" Type="http://schemas.openxmlformats.org/officeDocument/2006/relationships/hyperlink" Target="http://www.sec.gov/Archives/edgar/data/1585608/000110465918056318/a18-28069_1ex4d4.htm" TargetMode="External"/><Relationship Id="rId70" Type="http://schemas.openxmlformats.org/officeDocument/2006/relationships/hyperlink" Target="http://www.sec.gov/Archives/edgar/data/1585608/000104746918006516/a2236839zex-4_6.htm" TargetMode="External"/><Relationship Id="rId71" Type="http://schemas.openxmlformats.org/officeDocument/2006/relationships/hyperlink" Target="http://www.sec.gov/Archives/edgar/data/1585608/000110465919016849/a19-7046_1ex4d3.htm" TargetMode="External"/><Relationship Id="rId72" Type="http://schemas.openxmlformats.org/officeDocument/2006/relationships/hyperlink" Target="http://www.sec.gov/Archives/edgar/data/1585608/000110465919017279/a19-7133_4ex4d1.htm" TargetMode="External"/><Relationship Id="rId73" Type="http://schemas.openxmlformats.org/officeDocument/2006/relationships/hyperlink" Target="http://www.sec.gov/Archives/edgar/data/1585608/000110465919019838/a19-7842_1ex4d1.htm" TargetMode="External"/><Relationship Id="rId74" Type="http://schemas.openxmlformats.org/officeDocument/2006/relationships/hyperlink" Target="http://www.sec.gov/Archives/edgar/data/1585608/000110465918037457/a18-14619_1ex4d1.htm" TargetMode="External"/><Relationship Id="rId75" Type="http://schemas.openxmlformats.org/officeDocument/2006/relationships/hyperlink" Target="http://www.sec.gov/Archives/edgar/data/1585608/000110465919041472/a19-13207_1ex4d1.htm" TargetMode="External"/><Relationship Id="rId76" Type="http://schemas.openxmlformats.org/officeDocument/2006/relationships/hyperlink" Target="http://www.sec.gov/Archives/edgar/data/1585608/000110465919041472/a19-13207_1ex4d2.htm" TargetMode="External"/><Relationship Id="rId77" Type="http://schemas.openxmlformats.org/officeDocument/2006/relationships/hyperlink" Target="http://www.sec.gov/Archives/edgar/data/1585608/000110465919053249/a19-19456_1ex4d1.htm" TargetMode="External"/><Relationship Id="rId78" Type="http://schemas.openxmlformats.org/officeDocument/2006/relationships/hyperlink" Target="http://www.sec.gov/Archives/edgar/data/1585608/000110465919063663/a19-22698_1ex4d1.htm" TargetMode="External"/><Relationship Id="rId79" Type="http://schemas.openxmlformats.org/officeDocument/2006/relationships/hyperlink" Target="http://www.sec.gov/Archives/edgar/data/1585608/000110465919076157/a19-26827_1ex4d1.htm" TargetMode="External"/><Relationship Id="rId80" Type="http://schemas.openxmlformats.org/officeDocument/2006/relationships/hyperlink" Target="http://www.sec.gov/Archives/edgar/data/1585608/000110465920030255/tm2011911d1_ex4-1.htm" TargetMode="External"/><Relationship Id="rId81" Type="http://schemas.openxmlformats.org/officeDocument/2006/relationships/hyperlink" Target="http://www.sec.gov/Archives/edgar/data/1585608/000155837020003581/jagx-20191231ex426e78444.htm" TargetMode="External"/><Relationship Id="rId82" Type="http://schemas.openxmlformats.org/officeDocument/2006/relationships/hyperlink" Target="http://www.sec.gov/Archives/edgar/data/1585608/000110465920065481/tm2019077d5_ex4-1.htm" TargetMode="External"/><Relationship Id="rId83" Type="http://schemas.openxmlformats.org/officeDocument/2006/relationships/hyperlink" Target="http://www.sec.gov/Archives/edgar/data/1585608/000110465920101650/a20-30008_1ex4d1.htm" TargetMode="External"/><Relationship Id="rId84" Type="http://schemas.openxmlformats.org/officeDocument/2006/relationships/hyperlink" Target="http://www.sec.gov/Archives/edgar/data/1585608/000110465920113939/a20-32792_4ex4d1.htm" TargetMode="External"/><Relationship Id="rId85" Type="http://schemas.openxmlformats.org/officeDocument/2006/relationships/hyperlink" Target="http://www.sec.gov/Archives/edgar/data/1585608/000110465920113922/a20-32792_2ex4d1.htm" TargetMode="External"/><Relationship Id="rId86" Type="http://schemas.openxmlformats.org/officeDocument/2006/relationships/hyperlink" Target="http://www.sec.gov/Archives/edgar/data/1585608/000110465920140185/a20-39439_2ex4d1.htm" TargetMode="External"/><Relationship Id="rId87" Type="http://schemas.openxmlformats.org/officeDocument/2006/relationships/hyperlink" Target="http://www.sec.gov/Archives/edgar/data/1585608/000110465921006714/a21-3691_1ex4d1.htm" TargetMode="External"/><Relationship Id="rId88" Type="http://schemas.openxmlformats.org/officeDocument/2006/relationships/hyperlink" Target="http://www.sec.gov/Archives/edgar/data/1585608/000110465921048158/tm2112320d1_ex4-1.htm" TargetMode="External"/><Relationship Id="rId89" Type="http://schemas.openxmlformats.org/officeDocument/2006/relationships/hyperlink" Target="http://www.sec.gov/Archives/edgar/data/1585608/000110465922046478/tm2212799d1_ex4-1.htm" TargetMode="External"/><Relationship Id="rId90" Type="http://schemas.openxmlformats.org/officeDocument/2006/relationships/hyperlink" Target="http://www.sec.gov/Archives/edgar/data/1585608/000110465922046478/tm2212799d1_ex4-2.htm" TargetMode="External"/><Relationship Id="rId91" Type="http://schemas.openxmlformats.org/officeDocument/2006/relationships/hyperlink" Target="http://www.sec.gov/Archives/edgar/data/1585608/000110465922046478/tm2212799d1_ex4-3.htm" TargetMode="External"/><Relationship Id="rId92" Type="http://schemas.openxmlformats.org/officeDocument/2006/relationships/hyperlink" Target="http://www.sec.gov/Archives/edgar/data/1585608/000110465922046478/tm2212799d1_ex4-4.htm" TargetMode="External"/><Relationship Id="rId93" Type="http://schemas.openxmlformats.org/officeDocument/2006/relationships/hyperlink" Target="http://www.sec.gov/Archives/edgar/data/1585608/000110465922096057/tm2224757d1_ex4-1.htm" TargetMode="External"/><Relationship Id="rId94" Type="http://schemas.openxmlformats.org/officeDocument/2006/relationships/hyperlink" Target="http://www.sec.gov/Archives/edgar/data/1585608/000110465923057501/tm2315061d1_ex4-1.htm" TargetMode="External"/><Relationship Id="rId95" Type="http://schemas.openxmlformats.org/officeDocument/2006/relationships/hyperlink" Target="http://www.sec.gov/Archives/edgar/data/1585608/000110465923107248/tm2327745d1_ex4-1.htm" TargetMode="External"/><Relationship Id="rId96" Type="http://schemas.openxmlformats.org/officeDocument/2006/relationships/hyperlink" Target="http://www.sec.gov/Archives/edgar/data/1585608/000110465923107248/tm2327745d1_ex4-2.htm" TargetMode="External"/><Relationship Id="rId97" Type="http://schemas.openxmlformats.org/officeDocument/2006/relationships/hyperlink" Target="http://www.sec.gov/Archives/edgar/data/1585608/000110465923107248/tm2327745d1_ex4-3.htm" TargetMode="External"/><Relationship Id="rId98" Type="http://schemas.openxmlformats.org/officeDocument/2006/relationships/hyperlink" Target="http://www.sec.gov/Archives/edgar/data/1585608/000110465923107248/tm2327745d1_ex4-4.htm" TargetMode="External"/><Relationship Id="rId99" Type="http://schemas.openxmlformats.org/officeDocument/2006/relationships/hyperlink" Target="http://www.sec.gov/Archives/edgar/data/1585608/000110465923107248/tm2327745d1_ex4-5.htm" TargetMode="External"/><Relationship Id="rId100" Type="http://schemas.openxmlformats.org/officeDocument/2006/relationships/hyperlink" Target="http://www.sec.gov/Archives/edgar/data/1585608/000119312525019416/d842829dex41.htm" TargetMode="External"/><Relationship Id="rId101" Type="http://schemas.openxmlformats.org/officeDocument/2006/relationships/hyperlink" Target="http://www.sec.gov/Archives/edgar/data/1585608/000095017025024228/jagx-ex4_1.htm" TargetMode="External"/><Relationship Id="rId102" Type="http://schemas.openxmlformats.org/officeDocument/2006/relationships/hyperlink" Target="http://www.sec.gov/Archives/edgar/data/1585608/000095017025028403/jagx-ex4_1.htm" TargetMode="External"/><Relationship Id="rId103" Type="http://schemas.openxmlformats.org/officeDocument/2006/relationships/hyperlink" Target="http://www.sec.gov/Archives/edgar/data/1585608/000095017025044842/jagx-ex4_1.htm" TargetMode="External"/><Relationship Id="rId104" Type="http://schemas.openxmlformats.org/officeDocument/2006/relationships/hyperlink" Target="http://www.sec.gov/Archives/edgar/data/1585608/000095017025044842/jagx-ex4_2.htm" TargetMode="External"/><Relationship Id="rId105" Type="http://schemas.openxmlformats.org/officeDocument/2006/relationships/hyperlink" Target="http://www.sec.gov/Archives/edgar/data/1585608/000095017025044842/jagx-ex4_3.htm" TargetMode="External"/><Relationship Id="rId106" Type="http://schemas.openxmlformats.org/officeDocument/2006/relationships/hyperlink" Target="http://www.sec.gov/Archives/edgar/data/1585608/000119312525124500/d927226dex41.htm" TargetMode="External"/><Relationship Id="rId107" Type="http://schemas.openxmlformats.org/officeDocument/2006/relationships/hyperlink" Target="http://www.sec.gov/Archives/edgar/data/1585608/000119312525124500/d927226dex42.htm" TargetMode="External"/><Relationship Id="rId108" Type="http://schemas.openxmlformats.org/officeDocument/2006/relationships/hyperlink" Target="http://www.sec.gov/Archives/edgar/data/1585608/000119312525145742/d885397dex41.htm" TargetMode="External"/><Relationship Id="rId109" Type="http://schemas.openxmlformats.org/officeDocument/2006/relationships/hyperlink" Target="http://www.sec.gov/Archives/edgar/data/1585608/000119312525145742/d885397dex42.htm" TargetMode="External"/><Relationship Id="rId110" Type="http://schemas.openxmlformats.org/officeDocument/2006/relationships/hyperlink" Target="http://www.sec.gov/Archives/edgar/data/1585608/000119312525226788/d20552dex41.htm" TargetMode="External"/><Relationship Id="rId111" Type="http://schemas.openxmlformats.org/officeDocument/2006/relationships/hyperlink" Target="http://www.sec.gov/Archives/edgar/data/1585608/000119312525283139/d930413dex41.htm" TargetMode="External"/><Relationship Id="rId112" Type="http://schemas.openxmlformats.org/officeDocument/2006/relationships/hyperlink" Target="http://www.sec.gov/Archives/edgar/data/1585608/000119312525287650/jagx-ex4_1.htm" TargetMode="External"/><Relationship Id="rId113" Type="http://schemas.openxmlformats.org/officeDocument/2006/relationships/hyperlink" Target="http://www.sec.gov/Archives/edgar/data/1585608/000119312525287650/jagx-ex4_2.htm" TargetMode="External"/><Relationship Id="rId114" Type="http://schemas.openxmlformats.org/officeDocument/2006/relationships/hyperlink" Target="http://www.sec.gov/Archives/edgar/data/1585608/000119312525287650/jagx-ex4_3.htm" TargetMode="External"/><Relationship Id="rId115" Type="http://schemas.openxmlformats.org/officeDocument/2006/relationships/hyperlink" Target="http://www.sec.gov/Archives/edgar/data/1585608/000119312525287650/jagx-ex4_4.htm" TargetMode="External"/><Relationship Id="rId116" Type="http://schemas.openxmlformats.org/officeDocument/2006/relationships/hyperlink" Target="http://www.sec.gov/Archives/edgar/data/1585608/000119312526144470/jagx-ex4_51.htm" TargetMode="External"/><Relationship Id="rId117" Type="http://schemas.openxmlformats.org/officeDocument/2006/relationships/hyperlink" Target="http://www.sec.gov/Archives/edgar/data/1585608/000119312526144470/jagx-ex4_52.htm" TargetMode="External"/><Relationship Id="rId118" Type="http://schemas.openxmlformats.org/officeDocument/2006/relationships/hyperlink" Target="http://www.sec.gov/Archives/edgar/data/1585608/000119312526010173/jagx-ex4_1.htm" TargetMode="External"/><Relationship Id="rId119" Type="http://schemas.openxmlformats.org/officeDocument/2006/relationships/hyperlink" Target="http://www.sec.gov/Archives/edgar/data/1585608/000119312526010173/jagx-ex4_2.htm" TargetMode="External"/><Relationship Id="rId120" Type="http://schemas.openxmlformats.org/officeDocument/2006/relationships/hyperlink" Target="http://www.sec.gov/Archives/edgar/data/1585608/000119312526021064/jagx-ex4_1.htm" TargetMode="External"/><Relationship Id="rId121" Type="http://schemas.openxmlformats.org/officeDocument/2006/relationships/hyperlink" Target="http://www.sec.gov/Archives/edgar/data/1585608/000119312526056157/d70748dex41.htm" TargetMode="External"/><Relationship Id="rId122" Type="http://schemas.openxmlformats.org/officeDocument/2006/relationships/hyperlink" Target="http://www.sec.gov/Archives/edgar/data/1585608/000119312526097700/d89977dex41.htm" TargetMode="External"/><Relationship Id="rId123" Type="http://schemas.openxmlformats.org/officeDocument/2006/relationships/hyperlink" Target="http://www.sec.gov/Archives/edgar/data/1585608/000119312526097700/d89977dex42.htm" TargetMode="External"/><Relationship Id="rId124" Type="http://schemas.openxmlformats.org/officeDocument/2006/relationships/hyperlink" Target="http://www.sec.gov/Archives/edgar/data/1585608/000119312526097700/d89977dex43.htm" TargetMode="External"/><Relationship Id="rId125" Type="http://schemas.openxmlformats.org/officeDocument/2006/relationships/hyperlink" Target="http://www.sec.gov/Archives/edgar/data/1585608/000119312526097700/d89977dex44.htm" TargetMode="External"/><Relationship Id="rId126" Type="http://schemas.openxmlformats.org/officeDocument/2006/relationships/hyperlink" Target="http://www.sec.gov/Archives/edgar/data/1585608/000119312526266770/d570985dex41.htm" TargetMode="External"/><Relationship Id="rId127" Type="http://schemas.openxmlformats.org/officeDocument/2006/relationships/hyperlink" Target="http://www.sec.gov/Archives/edgar/data/1585608/000119312526276103/d111863dex41.htm" TargetMode="External"/><Relationship Id="rId128" Type="http://schemas.openxmlformats.org/officeDocument/2006/relationships/hyperlink" Target="http://www.sec.gov/Archives/edgar/data/1585608/000119312526276103/d111863dex42.htm" TargetMode="External"/><Relationship Id="rId129" Type="http://schemas.openxmlformats.org/officeDocument/2006/relationships/hyperlink" Target="http://www.sec.gov/Archives/edgar/data/1585608/000119312526276103/d111863dex43.htm" TargetMode="External"/><Relationship Id="rId130" Type="http://schemas.openxmlformats.org/officeDocument/2006/relationships/hyperlink" Target="http://www.sec.gov/Archives/edgar/data/1585608/000104746914007210/a2221253zex-10_1.htm" TargetMode="External"/><Relationship Id="rId131" Type="http://schemas.openxmlformats.org/officeDocument/2006/relationships/hyperlink" Target="http://www.sec.gov/Archives/edgar/data/1585608/000104746914007210/a2221253zex-10_6.htm" TargetMode="External"/><Relationship Id="rId132" Type="http://schemas.openxmlformats.org/officeDocument/2006/relationships/hyperlink" Target="http://www.sec.gov/Archives/edgar/data/1585608/000104746914007210/a2221253zex-10_7.htm" TargetMode="External"/><Relationship Id="rId133" Type="http://schemas.openxmlformats.org/officeDocument/2006/relationships/hyperlink" Target="http://www.sec.gov/Archives/edgar/data/1585608/000104746914007210/a2221253zex-10_8.htm" TargetMode="External"/><Relationship Id="rId134" Type="http://schemas.openxmlformats.org/officeDocument/2006/relationships/hyperlink" Target="http://www.sec.gov/Archives/edgar/data/1585608/000104746914007210/a2221253zex-10_9.htm" TargetMode="External"/><Relationship Id="rId135" Type="http://schemas.openxmlformats.org/officeDocument/2006/relationships/hyperlink" Target="http://www.sec.gov/Archives/edgar/data/1585608/000104746914007210/a2221253zex-10_11.htm" TargetMode="External"/><Relationship Id="rId136" Type="http://schemas.openxmlformats.org/officeDocument/2006/relationships/hyperlink" Target="http://www.sec.gov/Archives/edgar/data/1585608/000104746916009591/a2227002zex-10_30.htm" TargetMode="External"/><Relationship Id="rId137" Type="http://schemas.openxmlformats.org/officeDocument/2006/relationships/hyperlink" Target="http://www.sec.gov/Archives/edgar/data/1585608/000110465916156957/a16-17191_1ex10d2.htm" TargetMode="External"/><Relationship Id="rId138" Type="http://schemas.openxmlformats.org/officeDocument/2006/relationships/hyperlink" Target="http://www.sec.gov/Archives/edgar/data/1585608/000104746917000684/a2230899zex-10_41.htm" TargetMode="External"/><Relationship Id="rId139" Type="http://schemas.openxmlformats.org/officeDocument/2006/relationships/hyperlink" Target="http://www.sec.gov/Archives/edgar/data/1585608/000104746917003695/a2232030zex-10_61.htm" TargetMode="External"/><Relationship Id="rId140" Type="http://schemas.openxmlformats.org/officeDocument/2006/relationships/hyperlink" Target="http://www.sec.gov/Archives/edgar/data/1585608/000104746917003695/a2232030zex-10_62.htm" TargetMode="External"/><Relationship Id="rId141" Type="http://schemas.openxmlformats.org/officeDocument/2006/relationships/hyperlink" Target="http://www.sec.gov/Archives/edgar/data/1585608/000104746917003695/a2232030zex-10_77.htm" TargetMode="External"/><Relationship Id="rId142" Type="http://schemas.openxmlformats.org/officeDocument/2006/relationships/hyperlink" Target="http://www.sec.gov/Archives/edgar/data/1585608/000104746917004307/a2232537zex-10_83.htm" TargetMode="External"/><Relationship Id="rId143" Type="http://schemas.openxmlformats.org/officeDocument/2006/relationships/hyperlink" Target="http://www.sec.gov/Archives/edgar/data/1585608/000110465917069520/a17-20620_1ex10d8.htm" TargetMode="External"/><Relationship Id="rId144" Type="http://schemas.openxmlformats.org/officeDocument/2006/relationships/hyperlink" Target="http://www.sec.gov/Archives/edgar/data/1585608/000110465918020494/a18-8963_1ex10d2.htm" TargetMode="External"/><Relationship Id="rId145" Type="http://schemas.openxmlformats.org/officeDocument/2006/relationships/hyperlink" Target="http://www.sec.gov/Archives/edgar/data/1585608/000110465918056318/a18-28069_1ex10d3.htm" TargetMode="External"/><Relationship Id="rId146" Type="http://schemas.openxmlformats.org/officeDocument/2006/relationships/hyperlink" Target="http://www.sec.gov/Archives/edgar/data/1585608/000110465918056318/a18-28069_1ex10d4.htm" TargetMode="External"/><Relationship Id="rId147" Type="http://schemas.openxmlformats.org/officeDocument/2006/relationships/hyperlink" Target="http://www.sec.gov/Archives/edgar/data/1585608/000110465919016849/a19-7046_1ex10d2.htm" TargetMode="External"/><Relationship Id="rId148" Type="http://schemas.openxmlformats.org/officeDocument/2006/relationships/hyperlink" Target="http://www.sec.gov/Archives/edgar/data/1585608/000110465919019838/a19-7842_1ex10d1.htm" TargetMode="External"/><Relationship Id="rId149" Type="http://schemas.openxmlformats.org/officeDocument/2006/relationships/hyperlink" Target="http://www.sec.gov/Archives/edgar/data/1585608/000110465919051819/a19-19067_1ex10d120.htm" TargetMode="External"/><Relationship Id="rId150" Type="http://schemas.openxmlformats.org/officeDocument/2006/relationships/hyperlink" Target="http://www.sec.gov/Archives/edgar/data/1585608/000110465919039384/a19-12497_1ex10d1.htm" TargetMode="External"/><Relationship Id="rId151" Type="http://schemas.openxmlformats.org/officeDocument/2006/relationships/hyperlink" Target="http://www.sec.gov/Archives/edgar/data/1585608/000155837021003811/jagx-20201231ex10249f535.htm" TargetMode="External"/><Relationship Id="rId152" Type="http://schemas.openxmlformats.org/officeDocument/2006/relationships/hyperlink" Target="http://www.sec.gov/Archives/edgar/data/1585608/000155837019008174/jagx-20190630ex106ca3861.htm" TargetMode="External"/><Relationship Id="rId153" Type="http://schemas.openxmlformats.org/officeDocument/2006/relationships/hyperlink" Target="http://www.sec.gov/Archives/edgar/data/1585608/000104746919004164/a2239230zex-10_117.htm" TargetMode="External"/><Relationship Id="rId154" Type="http://schemas.openxmlformats.org/officeDocument/2006/relationships/hyperlink" Target="http://www.sec.gov/Archives/edgar/data/1585608/000110465919053249/a19-19456_1ex10d1.htm" TargetMode="External"/><Relationship Id="rId155" Type="http://schemas.openxmlformats.org/officeDocument/2006/relationships/hyperlink" Target="http://www.sec.gov/Archives/edgar/data/1585608/000110465919063663/a19-22698_1ex10d1.htm" TargetMode="External"/><Relationship Id="rId156" Type="http://schemas.openxmlformats.org/officeDocument/2006/relationships/hyperlink" Target="http://www.sec.gov/Archives/edgar/data/1585608/000110465919076157/a19-26827_1ex10d1.htm" TargetMode="External"/><Relationship Id="rId157" Type="http://schemas.openxmlformats.org/officeDocument/2006/relationships/hyperlink" Target="http://www.sec.gov/Archives/edgar/data/1585608/000110465920027071/tm2011249d2_ex10-1.htm" TargetMode="External"/><Relationship Id="rId158" Type="http://schemas.openxmlformats.org/officeDocument/2006/relationships/hyperlink" Target="http://www.sec.gov/Archives/edgar/data/1585608/000110465920038877/tm2013507d1_ex10-1.htm" TargetMode="External"/><Relationship Id="rId159" Type="http://schemas.openxmlformats.org/officeDocument/2006/relationships/hyperlink" Target="http://www.sec.gov/Archives/edgar/data/1585608/000110465920038877/tm2013507d1_ex10-4.htm" TargetMode="External"/><Relationship Id="rId160" Type="http://schemas.openxmlformats.org/officeDocument/2006/relationships/hyperlink" Target="http://www.sec.gov/Archives/edgar/data/1585608/000110465920038877/tm2013507d1_ex10-5.htm" TargetMode="External"/><Relationship Id="rId161" Type="http://schemas.openxmlformats.org/officeDocument/2006/relationships/hyperlink" Target="http://www.sec.gov/Archives/edgar/data/1585608/000155837020003581/jagx-20191231ex10101a436.htm" TargetMode="External"/><Relationship Id="rId162" Type="http://schemas.openxmlformats.org/officeDocument/2006/relationships/hyperlink" Target="http://www.sec.gov/Archives/edgar/data/1585608/000110465920047211/a20-15990_1ex10d1.htm" TargetMode="External"/><Relationship Id="rId163" Type="http://schemas.openxmlformats.org/officeDocument/2006/relationships/hyperlink" Target="http://www.sec.gov/Archives/edgar/data/1585608/000110465920047211/a20-15990_1ex10d2.htm" TargetMode="External"/><Relationship Id="rId164" Type="http://schemas.openxmlformats.org/officeDocument/2006/relationships/hyperlink" Target="http://www.sec.gov/Archives/edgar/data/1585608/000110465920064444/tm2019077d3_ex10-1.htm" TargetMode="External"/><Relationship Id="rId165" Type="http://schemas.openxmlformats.org/officeDocument/2006/relationships/hyperlink" Target="http://www.sec.gov/Archives/edgar/data/1585608/000110465920064444/tm2019077d3_ex10-2.htm" TargetMode="External"/><Relationship Id="rId166" Type="http://schemas.openxmlformats.org/officeDocument/2006/relationships/hyperlink" Target="http://www.sec.gov/Archives/edgar/data/1585608/000110465920075302/a20-22810_1ex10d1.htm" TargetMode="External"/><Relationship Id="rId167" Type="http://schemas.openxmlformats.org/officeDocument/2006/relationships/hyperlink" Target="http://www.sec.gov/Archives/edgar/data/1585608/000110465920075302/a20-22810_1ex10d2.htm" TargetMode="External"/><Relationship Id="rId168" Type="http://schemas.openxmlformats.org/officeDocument/2006/relationships/hyperlink" Target="http://www.sec.gov/Archives/edgar/data/1585608/000110465920075302/a20-22810_1ex10d3.htm" TargetMode="External"/><Relationship Id="rId169" Type="http://schemas.openxmlformats.org/officeDocument/2006/relationships/hyperlink" Target="http://www.sec.gov/Archives/edgar/data/1585608/000110465920030255/tm2011911d1_ex10-1.htm" TargetMode="External"/><Relationship Id="rId170" Type="http://schemas.openxmlformats.org/officeDocument/2006/relationships/hyperlink" Target="http://www.sec.gov/Archives/edgar/data/1585608/000110465920083467/a20-24810_1ex10d1.htm" TargetMode="External"/><Relationship Id="rId171" Type="http://schemas.openxmlformats.org/officeDocument/2006/relationships/hyperlink" Target="http://www.sec.gov/Archives/edgar/data/1585608/000155837020010491/jagx-20200630ex1011b79cb.htm" TargetMode="External"/><Relationship Id="rId172" Type="http://schemas.openxmlformats.org/officeDocument/2006/relationships/hyperlink" Target="http://www.sec.gov/Archives/edgar/data/1585608/000155837020010491/jagx-20200630ex101286fcb.htm" TargetMode="External"/><Relationship Id="rId173" Type="http://schemas.openxmlformats.org/officeDocument/2006/relationships/hyperlink" Target="http://www.sec.gov/Archives/edgar/data/1585608/000155837020010491/jagx-20200630ex10134ea61.htm" TargetMode="External"/><Relationship Id="rId174" Type="http://schemas.openxmlformats.org/officeDocument/2006/relationships/hyperlink" Target="http://www.sec.gov/Archives/edgar/data/1585608/000110465920101650/a20-30008_1ex10d1.htm" TargetMode="External"/><Relationship Id="rId175" Type="http://schemas.openxmlformats.org/officeDocument/2006/relationships/hyperlink" Target="http://www.sec.gov/Archives/edgar/data/1585608/000110465920101650/a20-30008_1ex10d2.htm" TargetMode="External"/><Relationship Id="rId176" Type="http://schemas.openxmlformats.org/officeDocument/2006/relationships/hyperlink" Target="http://www.sec.gov/Archives/edgar/data/1585608/000110465920112859/a20-32587_2ex10d1.htm" TargetMode="External"/><Relationship Id="rId177" Type="http://schemas.openxmlformats.org/officeDocument/2006/relationships/hyperlink" Target="http://www.sec.gov/Archives/edgar/data/1585608/000110465920113922/a20-32792_2ex10d1.htm" TargetMode="External"/><Relationship Id="rId178" Type="http://schemas.openxmlformats.org/officeDocument/2006/relationships/hyperlink" Target="http://www.sec.gov/Archives/edgar/data/1585608/000110465920113939/a20-32792_4ex10d1.htm" TargetMode="External"/><Relationship Id="rId179" Type="http://schemas.openxmlformats.org/officeDocument/2006/relationships/hyperlink" Target="http://www.sec.gov/Archives/edgar/data/1585608/000110465920113939/a20-32792_4ex10d2.htm" TargetMode="External"/><Relationship Id="rId180" Type="http://schemas.openxmlformats.org/officeDocument/2006/relationships/hyperlink" Target="http://www.sec.gov/Archives/edgar/data/1585608/000155837020013865/jagx-20200930ex104d7a47b.htm" TargetMode="External"/><Relationship Id="rId181" Type="http://schemas.openxmlformats.org/officeDocument/2006/relationships/hyperlink" Target="http://www.sec.gov/Archives/edgar/data/1585608/000155837020013865/jagx-20200930ex105d6e75f.htm" TargetMode="External"/><Relationship Id="rId182" Type="http://schemas.openxmlformats.org/officeDocument/2006/relationships/hyperlink" Target="http://www.sec.gov/Archives/edgar/data/1585608/000155837020013865/jagx-20200930ex106bb794e.htm" TargetMode="External"/><Relationship Id="rId183" Type="http://schemas.openxmlformats.org/officeDocument/2006/relationships/hyperlink" Target="http://www.sec.gov/Archives/edgar/data/1585608/000110465920140185/a20-39439_2ex10d1.htm" TargetMode="External"/><Relationship Id="rId184" Type="http://schemas.openxmlformats.org/officeDocument/2006/relationships/hyperlink" Target="http://www.sec.gov/Archives/edgar/data/1585608/000110465921006714/a21-3691_1ex10d1.htm" TargetMode="External"/><Relationship Id="rId185" Type="http://schemas.openxmlformats.org/officeDocument/2006/relationships/hyperlink" Target="http://www.sec.gov/Archives/edgar/data/1585608/000110465921006714/a21-3691_1ex10d2.htm" TargetMode="External"/><Relationship Id="rId186" Type="http://schemas.openxmlformats.org/officeDocument/2006/relationships/hyperlink" Target="http://www.sec.gov/Archives/edgar/data/1585608/000155837021003811/jagx-20201231ex1067a0135.htm" TargetMode="External"/><Relationship Id="rId187" Type="http://schemas.openxmlformats.org/officeDocument/2006/relationships/hyperlink" Target="http://www.sec.gov/Archives/edgar/data/1585608/000110465921004040/a21-3060_1ex10d1.htm" TargetMode="External"/><Relationship Id="rId188" Type="http://schemas.openxmlformats.org/officeDocument/2006/relationships/hyperlink" Target="http://www.sec.gov/Archives/edgar/data/1585608/000110465921048158/tm2112320d1_ex10-1.htm" TargetMode="External"/><Relationship Id="rId189" Type="http://schemas.openxmlformats.org/officeDocument/2006/relationships/hyperlink" Target="http://www.sec.gov/Archives/edgar/data/1585608/000110465921048158/tm2112320d1_ex10-2.htm" TargetMode="External"/><Relationship Id="rId190" Type="http://schemas.openxmlformats.org/officeDocument/2006/relationships/hyperlink" Target="http://www.sec.gov/Archives/edgar/data/1585608/000110465921048158/tm2112320d1_ex10-3.htm" TargetMode="External"/><Relationship Id="rId191" Type="http://schemas.openxmlformats.org/officeDocument/2006/relationships/hyperlink" Target="http://www.sec.gov/Archives/edgar/data/1585608/000110465921059150/tm2114653d1_ex10-1.htm" TargetMode="External"/><Relationship Id="rId192" Type="http://schemas.openxmlformats.org/officeDocument/2006/relationships/hyperlink" Target="http://www.sec.gov/Archives/edgar/data/1585608/000110465921077122/tm2118428d1_ex10-1.htm" TargetMode="External"/><Relationship Id="rId193" Type="http://schemas.openxmlformats.org/officeDocument/2006/relationships/hyperlink" Target="http://www.sec.gov/Archives/edgar/data/1585608/000110465921109004/tm2125746d1_ex10-1.htm" TargetMode="External"/><Relationship Id="rId194" Type="http://schemas.openxmlformats.org/officeDocument/2006/relationships/hyperlink" Target="http://www.sec.gov/Archives/edgar/data/1585608/000110465921116919/tm2127647d1_ex10-1.htm" TargetMode="External"/><Relationship Id="rId195" Type="http://schemas.openxmlformats.org/officeDocument/2006/relationships/hyperlink" Target="http://www.sec.gov/Archives/edgar/data/1585608/000110465921148714/tm2135150d2_ex10-1.htm" TargetMode="External"/><Relationship Id="rId196" Type="http://schemas.openxmlformats.org/officeDocument/2006/relationships/hyperlink" Target="http://www.sec.gov/Archives/edgar/data/1585608/000110465922010921/tm225182d2_ex10-1.htm" TargetMode="External"/><Relationship Id="rId197" Type="http://schemas.openxmlformats.org/officeDocument/2006/relationships/hyperlink" Target="http://www.sec.gov/Archives/edgar/data/1585608/000110465922046478/tm2212799d1_ex10-1.htm" TargetMode="External"/><Relationship Id="rId198" Type="http://schemas.openxmlformats.org/officeDocument/2006/relationships/hyperlink" Target="http://www.sec.gov/Archives/edgar/data/1585608/000110465922046478/tm2212799d1_ex10-1.htm" TargetMode="External"/><Relationship Id="rId199" Type="http://schemas.openxmlformats.org/officeDocument/2006/relationships/hyperlink" Target="http://www.sec.gov/Archives/edgar/data/1585608/000110465922094064/tm2224333d2_ex10-1.htm" TargetMode="External"/><Relationship Id="rId200" Type="http://schemas.openxmlformats.org/officeDocument/2006/relationships/hyperlink" Target="http://www.sec.gov/Archives/edgar/data/1585608/000110465922075521/tm2219936d1_ex10-1.htm" TargetMode="External"/><Relationship Id="rId201" Type="http://schemas.openxmlformats.org/officeDocument/2006/relationships/hyperlink" Target="http://www.sec.gov/Archives/edgar/data/1585608/000110465922081211/tm2221453d1_ex10-1.htm" TargetMode="External"/><Relationship Id="rId202" Type="http://schemas.openxmlformats.org/officeDocument/2006/relationships/hyperlink" Target="http://www.sec.gov/Archives/edgar/data/1585608/000110465922093712/tm2224333d1_ex10-1.htm" TargetMode="External"/><Relationship Id="rId203" Type="http://schemas.openxmlformats.org/officeDocument/2006/relationships/hyperlink" Target="http://www.sec.gov/Archives/edgar/data/1585608/000110465922093712/tm2224333d1_ex10-2.htm" TargetMode="External"/><Relationship Id="rId204" Type="http://schemas.openxmlformats.org/officeDocument/2006/relationships/hyperlink" Target="http://www.sec.gov/Archives/edgar/data/1585608/000110465922096057/tm2224757d1_ex10-1.htm" TargetMode="External"/><Relationship Id="rId205" Type="http://schemas.openxmlformats.org/officeDocument/2006/relationships/hyperlink" Target="http://www.sec.gov/Archives/edgar/data/1585608/000110465922108874/tm2228113d1_ex10-1.htm" TargetMode="External"/><Relationship Id="rId206" Type="http://schemas.openxmlformats.org/officeDocument/2006/relationships/hyperlink" Target="http://www.sec.gov/Archives/edgar/data/1585608/000110465922110606/tm2228519d1_ex10-1.htm" TargetMode="External"/><Relationship Id="rId207" Type="http://schemas.openxmlformats.org/officeDocument/2006/relationships/hyperlink" Target="http://www.sec.gov/Archives/edgar/data/1585608/000110465922119584/tm2229955d2_ex10-1.htm" TargetMode="External"/><Relationship Id="rId208" Type="http://schemas.openxmlformats.org/officeDocument/2006/relationships/hyperlink" Target="http://www.sec.gov/Archives/edgar/data/1585608/000110465922131393/tm2233668d1_ex10-1.htm" TargetMode="External"/><Relationship Id="rId209" Type="http://schemas.openxmlformats.org/officeDocument/2006/relationships/hyperlink" Target="http://www.sec.gov/Archives/edgar/data/1585608/000110465923011256/tm235360d1_ex10-1.htm" TargetMode="External"/><Relationship Id="rId210" Type="http://schemas.openxmlformats.org/officeDocument/2006/relationships/hyperlink" Target="http://www.sec.gov/Archives/edgar/data/1585608/000110465923057501/tm2315061d1_ex10-1.htm" TargetMode="External"/><Relationship Id="rId211" Type="http://schemas.openxmlformats.org/officeDocument/2006/relationships/hyperlink" Target="http://www.sec.gov/Archives/edgar/data/1585608/000110465923057501/tm2315061d1_ex10-2.htm" TargetMode="External"/><Relationship Id="rId212" Type="http://schemas.openxmlformats.org/officeDocument/2006/relationships/hyperlink" Target="http://www.sec.gov/Archives/edgar/data/1585608/000110465923062736/tm2315707d2_ex10-1.htm" TargetMode="External"/><Relationship Id="rId213" Type="http://schemas.openxmlformats.org/officeDocument/2006/relationships/hyperlink" Target="http://www.sec.gov/Archives/edgar/data/1585608/000110465923077663/tm2320100d1_ex10-1.htm" TargetMode="External"/><Relationship Id="rId214" Type="http://schemas.openxmlformats.org/officeDocument/2006/relationships/hyperlink" Target="http://www.sec.gov/Archives/edgar/data/1585608/000110465923077663/tm2320100d1_ex10-2.htm" TargetMode="External"/><Relationship Id="rId215" Type="http://schemas.openxmlformats.org/officeDocument/2006/relationships/hyperlink" Target="http://www.sec.gov/Archives/edgar/data/1585608/000155837023014683/jagx-20230630xex10d6.htm" TargetMode="External"/><Relationship Id="rId216" Type="http://schemas.openxmlformats.org/officeDocument/2006/relationships/hyperlink" Target="http://www.sec.gov/Archives/edgar/data/1585608/000155837023014683/jagx-20230630xex10d7.htm" TargetMode="External"/><Relationship Id="rId217" Type="http://schemas.openxmlformats.org/officeDocument/2006/relationships/hyperlink" Target="http://www.sec.gov/Archives/edgar/data/1585608/000110465923107248/tm2327745d1_ex10-1.htm" TargetMode="External"/><Relationship Id="rId218" Type="http://schemas.openxmlformats.org/officeDocument/2006/relationships/hyperlink" Target="http://www.sec.gov/Archives/edgar/data/1585608/000110465923122909/tm2330328d1_10-1.htm" TargetMode="External"/><Relationship Id="rId219" Type="http://schemas.openxmlformats.org/officeDocument/2006/relationships/hyperlink" Target="http://www.sec.gov/Archives/edgar/data/1585608/000110465923122909/tm2330328d1_10-2.htm" TargetMode="External"/><Relationship Id="rId220" Type="http://schemas.openxmlformats.org/officeDocument/2006/relationships/hyperlink" Target="http://www.sec.gov/Archives/edgar/data/1585608/000110465924030064/tm247635d1_ex10-1.htm" TargetMode="External"/><Relationship Id="rId221" Type="http://schemas.openxmlformats.org/officeDocument/2006/relationships/hyperlink" Target="http://www.sec.gov/Archives/edgar/data/1585608/000110465924030064/tm247635d1_ex10-2.htm" TargetMode="External"/><Relationship Id="rId222" Type="http://schemas.openxmlformats.org/officeDocument/2006/relationships/hyperlink" Target="http://www.sec.gov/Archives/edgar/data/1585608/000110465924064484/tm2415080d1_ex10-1.htm" TargetMode="External"/><Relationship Id="rId223" Type="http://schemas.openxmlformats.org/officeDocument/2006/relationships/hyperlink" Target="http://www.sec.gov/Archives/edgar/data/1585608/000110465924080659/tm2419713d1_ex10-1.htm" TargetMode="External"/><Relationship Id="rId224" Type="http://schemas.openxmlformats.org/officeDocument/2006/relationships/hyperlink" Target="http://www.sec.gov/Archives/edgar/data/1585608/000095017024126461/jagx-ex10_1.htm" TargetMode="External"/><Relationship Id="rId225" Type="http://schemas.openxmlformats.org/officeDocument/2006/relationships/hyperlink" Target="http://www.sec.gov/Archives/edgar/data/1585608/000119312525111996/d935311dex101.htm" TargetMode="External"/><Relationship Id="rId226" Type="http://schemas.openxmlformats.org/officeDocument/2006/relationships/hyperlink" Target="http://www.sec.gov/Archives/edgar/data/1585608/000110465924030064/tm247635d1_ex10-1.htm" TargetMode="External"/><Relationship Id="rId227" Type="http://schemas.openxmlformats.org/officeDocument/2006/relationships/hyperlink" Target="http://www.sec.gov/Archives/edgar/data/1585608/000095017025044842/jagx-ex10_1.htm" TargetMode="External"/><Relationship Id="rId228" Type="http://schemas.openxmlformats.org/officeDocument/2006/relationships/hyperlink" Target="http://www.sec.gov/Archives/edgar/data/1585608/000095017025044842/jagx-ex10_2.htm" TargetMode="External"/><Relationship Id="rId229" Type="http://schemas.openxmlformats.org/officeDocument/2006/relationships/hyperlink" Target="http://www.sec.gov/Archives/edgar/data/1585608/000119312525120763/d63848dex101.htm" TargetMode="External"/><Relationship Id="rId230" Type="http://schemas.openxmlformats.org/officeDocument/2006/relationships/hyperlink" Target="http://www.sec.gov/Archives/edgar/data/1585608/000119312525120763/d63848dex102.htm" TargetMode="External"/><Relationship Id="rId231" Type="http://schemas.openxmlformats.org/officeDocument/2006/relationships/hyperlink" Target="http://www.sec.gov/Archives/edgar/data/1585608/000119312525120763/d63848dex103.htm" TargetMode="External"/><Relationship Id="rId232" Type="http://schemas.openxmlformats.org/officeDocument/2006/relationships/hyperlink" Target="http://www.sec.gov/Archives/edgar/data/1585608/000119312525124500/d927226dex101.htm" TargetMode="External"/><Relationship Id="rId233" Type="http://schemas.openxmlformats.org/officeDocument/2006/relationships/hyperlink" Target="http://www.sec.gov/Archives/edgar/data/1585608/000119312525145742/d885397dex101.htm" TargetMode="External"/><Relationship Id="rId234" Type="http://schemas.openxmlformats.org/officeDocument/2006/relationships/hyperlink" Target="http://www.sec.gov/Archives/edgar/data/1585608/000119312525152345/d14926dex101.htm" TargetMode="External"/><Relationship Id="rId235" Type="http://schemas.openxmlformats.org/officeDocument/2006/relationships/hyperlink" Target="http://www.sec.gov/Archives/edgar/data/1585608/000119312525152345/d14926dex102.htm" TargetMode="External"/><Relationship Id="rId236" Type="http://schemas.openxmlformats.org/officeDocument/2006/relationships/hyperlink" Target="http://www.sec.gov/Archives/edgar/data/1585608/000119312525180438/d795256dex101.htm" TargetMode="External"/><Relationship Id="rId237" Type="http://schemas.openxmlformats.org/officeDocument/2006/relationships/hyperlink" Target="http://www.sec.gov/Archives/edgar/data/1585608/000119312525201351/d947025dex101.htm" TargetMode="External"/><Relationship Id="rId238" Type="http://schemas.openxmlformats.org/officeDocument/2006/relationships/hyperlink" Target="http://www.sec.gov/Archives/edgar/data/1585608/000119312525226788/d20552dex101.htm" TargetMode="External"/><Relationship Id="rId239" Type="http://schemas.openxmlformats.org/officeDocument/2006/relationships/hyperlink" Target="http://www.sec.gov/Archives/edgar/data/1585608/000155837019008174/jagx-20190630ex106ca3861.htm" TargetMode="External"/><Relationship Id="rId240" Type="http://schemas.openxmlformats.org/officeDocument/2006/relationships/hyperlink" Target="http://www.sec.gov/Archives/edgar/data/1585608/000119312525283139/d930413dex101.htm" TargetMode="External"/><Relationship Id="rId241" Type="http://schemas.openxmlformats.org/officeDocument/2006/relationships/hyperlink" Target="http://www.sec.gov/Archives/edgar/data/1585608/000119312525283139/d930413dex102.htm" TargetMode="External"/><Relationship Id="rId242" Type="http://schemas.openxmlformats.org/officeDocument/2006/relationships/hyperlink" Target="http://www.sec.gov/Archives/edgar/data/1585608/000119312525283139/d930413dex103.htm" TargetMode="External"/><Relationship Id="rId243" Type="http://schemas.openxmlformats.org/officeDocument/2006/relationships/hyperlink" Target="http://www.sec.gov/Archives/edgar/data/1585608/000119312525283139/d930413dex104.htm" TargetMode="External"/><Relationship Id="rId244" Type="http://schemas.openxmlformats.org/officeDocument/2006/relationships/hyperlink" Target="http://www.sec.gov/Archives/edgar/data/1585608/000119312525287650/jagx-ex10_1.htm" TargetMode="External"/><Relationship Id="rId245" Type="http://schemas.openxmlformats.org/officeDocument/2006/relationships/hyperlink" Target="http://www.sec.gov/Archives/edgar/data/1585608/000119312526144470/jagx-ex10_116.htm" TargetMode="External"/><Relationship Id="rId246" Type="http://schemas.openxmlformats.org/officeDocument/2006/relationships/hyperlink" Target="http://www.sec.gov/Archives/edgar/data/1585608/000119312526144470/jagx-ex10_117.htm" TargetMode="External"/><Relationship Id="rId247" Type="http://schemas.openxmlformats.org/officeDocument/2006/relationships/hyperlink" Target="http://www.sec.gov/Archives/edgar/data/1585608/000119312526009221/jagx-ex10_1.htm" TargetMode="External"/><Relationship Id="rId248" Type="http://schemas.openxmlformats.org/officeDocument/2006/relationships/hyperlink" Target="http://www.sec.gov/Archives/edgar/data/1585608/000119312526014231/jagx-ex10_1.htm" TargetMode="External"/><Relationship Id="rId249" Type="http://schemas.openxmlformats.org/officeDocument/2006/relationships/hyperlink" Target="http://www.sec.gov/Archives/edgar/data/1585608/000119312526014231/jagx-ex10_2.htm" TargetMode="External"/><Relationship Id="rId250" Type="http://schemas.openxmlformats.org/officeDocument/2006/relationships/hyperlink" Target="http://www.sec.gov/Archives/edgar/data/1585608/000119312526021064/jagx-ex10_1.htm" TargetMode="External"/><Relationship Id="rId251" Type="http://schemas.openxmlformats.org/officeDocument/2006/relationships/hyperlink" Target="http://www.sec.gov/Archives/edgar/data/1585608/000119312526021064/jagx-ex10_2.htm" TargetMode="External"/><Relationship Id="rId252" Type="http://schemas.openxmlformats.org/officeDocument/2006/relationships/hyperlink" Target="http://www.sec.gov/Archives/edgar/data/1585608/000119312526021064/jagx-ex10_3.htm" TargetMode="External"/><Relationship Id="rId253" Type="http://schemas.openxmlformats.org/officeDocument/2006/relationships/hyperlink" Target="http://www.sec.gov/Archives/edgar/data/1585608/000119312526021064/jagx-ex10_4.htm" TargetMode="External"/><Relationship Id="rId254" Type="http://schemas.openxmlformats.org/officeDocument/2006/relationships/hyperlink" Target="http://www.sec.gov/Archives/edgar/data/1585608/000119312526021064/jagx-ex10_5.htm" TargetMode="External"/><Relationship Id="rId255" Type="http://schemas.openxmlformats.org/officeDocument/2006/relationships/hyperlink" Target="http://www.sec.gov/Archives/edgar/data/1585608/000119312526021064/jagx-ex10_6.htm" TargetMode="External"/><Relationship Id="rId256" Type="http://schemas.openxmlformats.org/officeDocument/2006/relationships/hyperlink" Target="http://www.sec.gov/Archives/edgar/data/1585608/000119312526097700/d89977dex101.htm" TargetMode="External"/><Relationship Id="rId257" Type="http://schemas.openxmlformats.org/officeDocument/2006/relationships/hyperlink" Target="http://www.sec.gov/Archives/edgar/data/1585608/000119312526097700/d89977dex102.htm" TargetMode="External"/><Relationship Id="rId258" Type="http://schemas.openxmlformats.org/officeDocument/2006/relationships/hyperlink" Target="http://www.sec.gov/Archives/edgar/data/1585608/000119312526266770/d570985dex101.htm" TargetMode="External"/><Relationship Id="rId259" Type="http://schemas.openxmlformats.org/officeDocument/2006/relationships/hyperlink" Target="http://www.sec.gov/Archives/edgar/data/1585608/000119312526266770/d570985dex102.htm" TargetMode="External"/><Relationship Id="rId260" Type="http://schemas.openxmlformats.org/officeDocument/2006/relationships/hyperlink" Target="http://www.sec.gov/Archives/edgar/data/1585608/000119312526266770/d570985dex103.htm" TargetMode="External"/><Relationship Id="rId261" Type="http://schemas.openxmlformats.org/officeDocument/2006/relationships/hyperlink" Target="http://www.sec.gov/Archives/edgar/data/1585608/000119312526266770/d570985dex104.htm" TargetMode="External"/><Relationship Id="rId262" Type="http://schemas.openxmlformats.org/officeDocument/2006/relationships/hyperlink" Target="http://www.sec.gov/Archives/edgar/data/1585608/000119312526276103/d111863dex101.htm" TargetMode="External"/><Relationship Id="rId263" Type="http://schemas.openxmlformats.org/officeDocument/2006/relationships/hyperlink" Target="http://www.sec.gov/Archives/edgar/data/1585608/000119312526276103/d111863dex102.htm" TargetMode="External"/><Relationship Id="rId264" Type="http://schemas.openxmlformats.org/officeDocument/2006/relationships/hyperlink" Target="http://www.sec.gov/Archives/edgar/data/1585608/000119312526276103/d111863dex103.htm" TargetMode="External"/><Relationship Id="rId265" Type="http://schemas.openxmlformats.org/officeDocument/2006/relationships/hyperlink" Target="http://www.sec.gov/Archives/edgar/data/1585608/000119312526281969/d110630dex101.htm" TargetMode="External"/><Relationship Id="rId266" Type="http://schemas.openxmlformats.org/officeDocument/2006/relationships/hyperlink" Target="http://www.sec.gov/Archives/edgar/data/1585608/000119312526144470/jagx-ex21_1.htm" TargetMode="External"/><Relationship Id="rId267" Type="http://schemas.openxmlformats.org/officeDocument/2006/relationships/image" Target="media/image2.jpeg"/><Relationship Id="rId268" Type="http://schemas.openxmlformats.org/officeDocument/2006/relationships/image" Target="media/image2.jpeg"/><Relationship Id="rId269" Type="http://schemas.openxmlformats.org/officeDocument/2006/relationships/image" Target="media/image3.jpeg"/><Relationship Id="rId270" Type="http://schemas.openxmlformats.org/officeDocument/2006/relationships/fontTable" Target="fontTable.xml"/><Relationship Id="rId2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33658</Words>
  <Characters>179923</Characters>
  <CharactersWithSpaces>214286</CharactersWithSpaces>
  <Paragraphs>2113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